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8460B" w14:textId="77777777" w:rsidR="0039104D" w:rsidRDefault="0039104D" w:rsidP="0039104D">
      <w:pPr>
        <w:tabs>
          <w:tab w:val="left" w:pos="6840"/>
        </w:tabs>
        <w:suppressAutoHyphens/>
        <w:spacing w:after="0" w:line="240" w:lineRule="auto"/>
        <w:ind w:right="-29"/>
        <w:rPr>
          <w:rFonts w:ascii="Times New Roman" w:eastAsia="Times New Roman" w:hAnsi="Times New Roman"/>
          <w:bCs/>
          <w:caps/>
          <w:lang w:val="en-US"/>
        </w:rPr>
      </w:pPr>
      <w:r>
        <w:rPr>
          <w:rFonts w:ascii="Times New Roman" w:eastAsia="Times New Roman" w:hAnsi="Times New Roman"/>
          <w:bCs/>
          <w:caps/>
          <w:lang w:val="en-US"/>
        </w:rPr>
        <w:t xml:space="preserve">INTER-AMERICAN CONVENTION ON </w:t>
      </w:r>
      <w:r>
        <w:rPr>
          <w:rFonts w:ascii="Times New Roman" w:eastAsia="Times New Roman" w:hAnsi="Times New Roman"/>
          <w:bCs/>
          <w:caps/>
          <w:lang w:val="en-US"/>
        </w:rPr>
        <w:tab/>
      </w:r>
      <w:r>
        <w:rPr>
          <w:rFonts w:ascii="Times New Roman" w:eastAsia="Times New Roman" w:hAnsi="Times New Roman"/>
          <w:noProof/>
          <w:lang w:val="en-US"/>
        </w:rPr>
        <w:t>OEA/Ser.K/XLIV.2</w:t>
      </w:r>
    </w:p>
    <w:p w14:paraId="417406A3" w14:textId="77777777" w:rsidR="0039104D" w:rsidRDefault="0039104D" w:rsidP="0039104D">
      <w:pPr>
        <w:tabs>
          <w:tab w:val="left" w:pos="6840"/>
        </w:tabs>
        <w:suppressAutoHyphens/>
        <w:spacing w:after="0" w:line="240" w:lineRule="auto"/>
        <w:ind w:right="-299"/>
        <w:rPr>
          <w:rFonts w:ascii="Times New Roman" w:eastAsia="Times New Roman" w:hAnsi="Times New Roman"/>
          <w:bCs/>
          <w:caps/>
          <w:lang w:val="en-US"/>
        </w:rPr>
      </w:pPr>
      <w:r>
        <w:rPr>
          <w:rFonts w:ascii="Times New Roman" w:eastAsia="Times New Roman" w:hAnsi="Times New Roman"/>
          <w:bCs/>
          <w:caps/>
          <w:lang w:val="en-US"/>
        </w:rPr>
        <w:t xml:space="preserve">TRANSPARENCY IN CONVENTIONAL                                                       </w:t>
      </w:r>
      <w:r>
        <w:rPr>
          <w:rFonts w:ascii="Times New Roman" w:eastAsia="Times New Roman" w:hAnsi="Times New Roman"/>
          <w:noProof/>
          <w:lang w:val="en-US"/>
        </w:rPr>
        <w:t>CITAAC/CEP-II/INF.1/22</w:t>
      </w:r>
    </w:p>
    <w:p w14:paraId="1B2F71C2" w14:textId="77777777" w:rsidR="0039104D" w:rsidRDefault="0039104D" w:rsidP="0039104D">
      <w:pPr>
        <w:tabs>
          <w:tab w:val="left" w:pos="6840"/>
        </w:tabs>
        <w:suppressAutoHyphens/>
        <w:spacing w:after="0" w:line="240" w:lineRule="auto"/>
        <w:ind w:right="-29"/>
        <w:rPr>
          <w:rFonts w:ascii="Times New Roman" w:eastAsia="Times New Roman" w:hAnsi="Times New Roman"/>
          <w:bCs/>
          <w:caps/>
          <w:lang w:val="en-US"/>
        </w:rPr>
      </w:pPr>
      <w:r>
        <w:rPr>
          <w:rFonts w:ascii="Times New Roman" w:eastAsia="Times New Roman" w:hAnsi="Times New Roman"/>
          <w:bCs/>
          <w:caps/>
          <w:lang w:val="en-US"/>
        </w:rPr>
        <w:t>WEAPONS ACQUISITIONS (CITAAC)</w:t>
      </w:r>
      <w:r>
        <w:rPr>
          <w:rFonts w:ascii="Times New Roman" w:eastAsia="Times New Roman" w:hAnsi="Times New Roman"/>
          <w:bCs/>
          <w:caps/>
          <w:lang w:val="en-US"/>
        </w:rPr>
        <w:tab/>
        <w:t xml:space="preserve">25 </w:t>
      </w:r>
      <w:r>
        <w:rPr>
          <w:rFonts w:ascii="Times New Roman" w:eastAsia="Times New Roman" w:hAnsi="Times New Roman"/>
          <w:lang w:val="en-US"/>
        </w:rPr>
        <w:t>March</w:t>
      </w:r>
      <w:r>
        <w:rPr>
          <w:rFonts w:ascii="Times New Roman" w:eastAsia="Times New Roman" w:hAnsi="Times New Roman"/>
          <w:bCs/>
          <w:caps/>
          <w:lang w:val="en-US"/>
        </w:rPr>
        <w:t xml:space="preserve"> 2022</w:t>
      </w:r>
    </w:p>
    <w:p w14:paraId="062BF174" w14:textId="77777777" w:rsidR="0039104D" w:rsidRDefault="0039104D" w:rsidP="0039104D">
      <w:pPr>
        <w:tabs>
          <w:tab w:val="left" w:pos="6545"/>
        </w:tabs>
        <w:spacing w:after="0" w:line="240" w:lineRule="auto"/>
        <w:rPr>
          <w:rFonts w:ascii="Times New Roman" w:eastAsia="Times New Roman" w:hAnsi="Times New Roman"/>
          <w:u w:val="single"/>
          <w:lang w:val="en-US"/>
        </w:rPr>
      </w:pPr>
      <w:r>
        <w:rPr>
          <w:rFonts w:ascii="Times New Roman" w:eastAsia="Times New Roman" w:hAnsi="Times New Roman"/>
          <w:u w:val="single"/>
          <w:lang w:val="en-US"/>
        </w:rPr>
        <w:t>Second Conference of the States Parties</w:t>
      </w:r>
      <w:r>
        <w:rPr>
          <w:rFonts w:ascii="Times New Roman" w:eastAsia="Times New Roman" w:hAnsi="Times New Roman"/>
          <w:lang w:val="en-US"/>
        </w:rPr>
        <w:tab/>
        <w:t xml:space="preserve">     Original: English</w:t>
      </w:r>
    </w:p>
    <w:p w14:paraId="5EDA97AD" w14:textId="77777777" w:rsidR="0039104D" w:rsidRDefault="0039104D" w:rsidP="0039104D">
      <w:pPr>
        <w:tabs>
          <w:tab w:val="left" w:pos="6545"/>
        </w:tabs>
        <w:spacing w:after="0" w:line="240" w:lineRule="auto"/>
        <w:rPr>
          <w:rFonts w:ascii="Times New Roman" w:eastAsia="Times New Roman" w:hAnsi="Times New Roman"/>
          <w:lang w:val="en-US"/>
        </w:rPr>
      </w:pPr>
      <w:r>
        <w:rPr>
          <w:rFonts w:ascii="Times New Roman" w:eastAsia="Times New Roman" w:hAnsi="Times New Roman"/>
          <w:lang w:val="en-US"/>
        </w:rPr>
        <w:t>April 19</w:t>
      </w:r>
      <w:r>
        <w:rPr>
          <w:rFonts w:ascii="Times New Roman" w:eastAsia="Times New Roman" w:hAnsi="Times New Roman"/>
          <w:vertAlign w:val="superscript"/>
          <w:lang w:val="en-US"/>
        </w:rPr>
        <w:t>th</w:t>
      </w:r>
      <w:r>
        <w:rPr>
          <w:rFonts w:ascii="Times New Roman" w:eastAsia="Times New Roman" w:hAnsi="Times New Roman"/>
          <w:lang w:val="en-US"/>
        </w:rPr>
        <w:t>, 2022</w:t>
      </w:r>
    </w:p>
    <w:p w14:paraId="02F9ABF5" w14:textId="77777777" w:rsidR="0039104D" w:rsidRDefault="0039104D" w:rsidP="0039104D">
      <w:pPr>
        <w:tabs>
          <w:tab w:val="left" w:pos="6545"/>
        </w:tabs>
        <w:spacing w:after="0" w:line="240" w:lineRule="auto"/>
        <w:rPr>
          <w:rFonts w:ascii="Times New Roman" w:eastAsia="Times New Roman" w:hAnsi="Times New Roman"/>
          <w:lang w:val="en-US"/>
        </w:rPr>
      </w:pPr>
      <w:r>
        <w:rPr>
          <w:rFonts w:ascii="Times New Roman" w:eastAsia="Times New Roman" w:hAnsi="Times New Roman"/>
          <w:lang w:val="en-US"/>
        </w:rPr>
        <w:t>Virtual Format</w:t>
      </w:r>
    </w:p>
    <w:p w14:paraId="3F467CE4" w14:textId="77777777" w:rsidR="0039104D" w:rsidRDefault="0039104D" w:rsidP="0039104D">
      <w:pPr>
        <w:spacing w:after="160" w:line="252" w:lineRule="auto"/>
        <w:rPr>
          <w:rFonts w:ascii="Times New Roman" w:eastAsia="Calibri" w:hAnsi="Times New Roman"/>
          <w:lang w:val="en-US"/>
        </w:rPr>
      </w:pPr>
    </w:p>
    <w:p w14:paraId="0E321B16" w14:textId="77777777" w:rsidR="0039104D" w:rsidRDefault="0039104D" w:rsidP="0039104D">
      <w:pPr>
        <w:spacing w:after="160" w:line="252" w:lineRule="auto"/>
        <w:rPr>
          <w:rFonts w:ascii="Times New Roman" w:eastAsia="Calibri" w:hAnsi="Times New Roman"/>
          <w:lang w:val="en-US"/>
        </w:rPr>
      </w:pPr>
    </w:p>
    <w:p w14:paraId="3345E6D2" w14:textId="77777777" w:rsidR="0039104D" w:rsidRDefault="0039104D" w:rsidP="0039104D">
      <w:pPr>
        <w:widowControl w:val="0"/>
        <w:autoSpaceDE w:val="0"/>
        <w:autoSpaceDN w:val="0"/>
        <w:spacing w:after="0" w:line="240" w:lineRule="auto"/>
        <w:ind w:left="2814" w:right="2814"/>
        <w:jc w:val="center"/>
        <w:rPr>
          <w:rFonts w:ascii="Times New Roman" w:eastAsia="Times New Roman" w:hAnsi="Times New Roman"/>
          <w:lang w:val="en-US"/>
        </w:rPr>
      </w:pPr>
      <w:r>
        <w:rPr>
          <w:rFonts w:ascii="Times New Roman" w:eastAsia="Times New Roman" w:hAnsi="Times New Roman"/>
          <w:lang w:val="en-US"/>
        </w:rPr>
        <w:t>INFORMATIVE NOTE</w:t>
      </w:r>
    </w:p>
    <w:p w14:paraId="1BB4D93D" w14:textId="77777777" w:rsidR="0039104D" w:rsidRDefault="0039104D" w:rsidP="0039104D">
      <w:pPr>
        <w:spacing w:after="160" w:line="254" w:lineRule="auto"/>
        <w:jc w:val="center"/>
        <w:rPr>
          <w:rFonts w:ascii="Times New Roman" w:eastAsia="Calibri" w:hAnsi="Times New Roman"/>
          <w:lang w:val="en-US"/>
        </w:rPr>
      </w:pPr>
      <w:r>
        <w:rPr>
          <w:rFonts w:ascii="Times New Roman" w:eastAsia="Calibri" w:hAnsi="Times New Roman"/>
          <w:lang w:val="en-US"/>
        </w:rPr>
        <w:t>(Presented by Canada)</w:t>
      </w:r>
    </w:p>
    <w:p w14:paraId="03FEAF90" w14:textId="77777777" w:rsidR="0039104D" w:rsidRDefault="0039104D" w:rsidP="0039104D">
      <w:pPr>
        <w:spacing w:after="160" w:line="254" w:lineRule="auto"/>
        <w:jc w:val="center"/>
        <w:rPr>
          <w:rFonts w:ascii="Times New Roman" w:eastAsia="Calibri" w:hAnsi="Times New Roman"/>
          <w:lang w:val="en-US"/>
        </w:rPr>
      </w:pPr>
    </w:p>
    <w:p w14:paraId="5CA1D5D7" w14:textId="77777777" w:rsidR="0039104D" w:rsidRDefault="0039104D" w:rsidP="0039104D">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OVERVIEW</w:t>
      </w:r>
    </w:p>
    <w:p w14:paraId="47959197" w14:textId="77777777" w:rsidR="0039104D" w:rsidRDefault="0039104D" w:rsidP="0039104D">
      <w:pPr>
        <w:autoSpaceDE w:val="0"/>
        <w:autoSpaceDN w:val="0"/>
        <w:adjustRightInd w:val="0"/>
        <w:spacing w:after="0" w:line="240" w:lineRule="auto"/>
        <w:jc w:val="both"/>
        <w:rPr>
          <w:rFonts w:ascii="Times New Roman" w:hAnsi="Times New Roman"/>
          <w:lang w:val="en-US"/>
        </w:rPr>
      </w:pPr>
    </w:p>
    <w:p w14:paraId="4FFF2AB1"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The purpose of this document is to establish the issues that will be addressed at the Second Conference of the States Parties to the Inter-American Convention on Transparency in Conventional Weapons Acquisitions (CITAAC), which will be held under the chairmanship of Canada, in virtual format, on April 19</w:t>
      </w:r>
      <w:r>
        <w:rPr>
          <w:rFonts w:ascii="Times New Roman" w:hAnsi="Times New Roman"/>
          <w:vertAlign w:val="superscript"/>
          <w:lang w:val="en-US"/>
        </w:rPr>
        <w:t>th</w:t>
      </w:r>
      <w:r>
        <w:rPr>
          <w:rFonts w:ascii="Times New Roman" w:hAnsi="Times New Roman"/>
          <w:lang w:val="en-US"/>
        </w:rPr>
        <w:t>, 2022.</w:t>
      </w:r>
    </w:p>
    <w:p w14:paraId="0B15A42B" w14:textId="77777777" w:rsidR="0039104D" w:rsidRDefault="0039104D" w:rsidP="0039104D">
      <w:pPr>
        <w:autoSpaceDE w:val="0"/>
        <w:autoSpaceDN w:val="0"/>
        <w:adjustRightInd w:val="0"/>
        <w:spacing w:after="0" w:line="240" w:lineRule="auto"/>
        <w:ind w:firstLine="708"/>
        <w:jc w:val="both"/>
        <w:rPr>
          <w:rFonts w:ascii="Times New Roman" w:hAnsi="Times New Roman"/>
          <w:lang w:val="en-US"/>
        </w:rPr>
      </w:pPr>
    </w:p>
    <w:p w14:paraId="5847AD42"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The Conference of the States Parties to the CITAAC is the highest political body of the Convention and brings together the authorities of the States Parties to examine its operation and application, and to consider further transparency measures, consistent with its objectives (article VIII of CITAAC). Additionally, in this Second Conference, the States Parties to the CITAAC will analyze a strategy to institutionalize the Convention to foster compliance with the annual reports and further adhesion to the CITAAC.</w:t>
      </w:r>
    </w:p>
    <w:p w14:paraId="50CE9A30" w14:textId="77777777" w:rsidR="0039104D" w:rsidRDefault="0039104D" w:rsidP="0039104D">
      <w:pPr>
        <w:autoSpaceDE w:val="0"/>
        <w:autoSpaceDN w:val="0"/>
        <w:adjustRightInd w:val="0"/>
        <w:spacing w:after="0" w:line="240" w:lineRule="auto"/>
        <w:jc w:val="both"/>
        <w:rPr>
          <w:rFonts w:ascii="Times New Roman" w:hAnsi="Times New Roman"/>
          <w:b/>
          <w:lang w:val="en-US"/>
        </w:rPr>
      </w:pPr>
    </w:p>
    <w:p w14:paraId="20FDFBC8" w14:textId="77777777" w:rsidR="0039104D" w:rsidRDefault="0039104D" w:rsidP="0039104D">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JUSTIFICATION</w:t>
      </w:r>
    </w:p>
    <w:p w14:paraId="4AB0E10D" w14:textId="77777777" w:rsidR="0039104D" w:rsidRDefault="0039104D" w:rsidP="0039104D">
      <w:pPr>
        <w:autoSpaceDE w:val="0"/>
        <w:autoSpaceDN w:val="0"/>
        <w:adjustRightInd w:val="0"/>
        <w:spacing w:after="0" w:line="240" w:lineRule="auto"/>
        <w:jc w:val="both"/>
        <w:rPr>
          <w:rFonts w:ascii="Times New Roman" w:hAnsi="Times New Roman"/>
          <w:lang w:val="en-US"/>
        </w:rPr>
      </w:pPr>
    </w:p>
    <w:p w14:paraId="7EB68ECE"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Transparency regarding the acquisitions of conventional weapons is an important measure to contribute to peace and stability worldwide. Bearing that in mind, CITAAC was adopted in 1999. The Convention came into force in 2002: it has been ratified by 17 Member States of the OAS and signed by 4 OAS Member States. </w:t>
      </w:r>
    </w:p>
    <w:p w14:paraId="3C9161EF" w14:textId="77777777" w:rsidR="0039104D" w:rsidRDefault="0039104D" w:rsidP="0039104D">
      <w:pPr>
        <w:autoSpaceDE w:val="0"/>
        <w:autoSpaceDN w:val="0"/>
        <w:adjustRightInd w:val="0"/>
        <w:spacing w:after="0" w:line="240" w:lineRule="auto"/>
        <w:ind w:firstLine="708"/>
        <w:jc w:val="both"/>
        <w:rPr>
          <w:rFonts w:ascii="Times New Roman" w:hAnsi="Times New Roman"/>
          <w:lang w:val="en-US"/>
        </w:rPr>
      </w:pPr>
    </w:p>
    <w:p w14:paraId="3066D349"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Through CITAAC, governments have committed to providing annual reports on their arms imports, exports, and national production. The exchange of this information can build trust and confidence in the region. It also may assist in the early identification and prevention of risks by excessive or destabilizing accumulations. Conventional weapons are those usually employed in armed conflicts, such as battle tanks, missiles, and armored combat vehicles. Most countries have legislation that prohibits civilians from carrying those weapons, as they are restricted to the use of Armed Forces. By being transparent and predictable, States can build confidence while meeting their legitimate security needs. </w:t>
      </w:r>
    </w:p>
    <w:p w14:paraId="73C4599A" w14:textId="77777777" w:rsidR="0039104D" w:rsidRDefault="0039104D" w:rsidP="0039104D">
      <w:pPr>
        <w:autoSpaceDE w:val="0"/>
        <w:autoSpaceDN w:val="0"/>
        <w:adjustRightInd w:val="0"/>
        <w:spacing w:after="0" w:line="240" w:lineRule="auto"/>
        <w:ind w:firstLine="708"/>
        <w:jc w:val="both"/>
        <w:rPr>
          <w:rFonts w:ascii="Times New Roman" w:hAnsi="Times New Roman"/>
          <w:lang w:val="en-US"/>
        </w:rPr>
      </w:pPr>
    </w:p>
    <w:p w14:paraId="4EAE7117"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Currently, the efficacy of CITAAC has been lowered by a low level of reports presented by State Parties and the absence of constructive spaces to promote dialogue between them. </w:t>
      </w:r>
    </w:p>
    <w:p w14:paraId="15355AD9" w14:textId="77777777" w:rsidR="0039104D" w:rsidRDefault="0039104D" w:rsidP="0039104D">
      <w:pPr>
        <w:autoSpaceDE w:val="0"/>
        <w:autoSpaceDN w:val="0"/>
        <w:adjustRightInd w:val="0"/>
        <w:spacing w:after="0" w:line="240" w:lineRule="auto"/>
        <w:jc w:val="both"/>
        <w:rPr>
          <w:rFonts w:ascii="Times New Roman" w:hAnsi="Times New Roman"/>
          <w:lang w:val="en-US"/>
        </w:rPr>
      </w:pPr>
    </w:p>
    <w:p w14:paraId="3AEAE1FE"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In total, there have been five political meetings of CITAAC:</w:t>
      </w:r>
    </w:p>
    <w:p w14:paraId="5FEC98B9" w14:textId="77777777" w:rsidR="0039104D" w:rsidRDefault="0039104D" w:rsidP="0039104D">
      <w:pPr>
        <w:autoSpaceDE w:val="0"/>
        <w:autoSpaceDN w:val="0"/>
        <w:adjustRightInd w:val="0"/>
        <w:spacing w:after="0" w:line="240" w:lineRule="auto"/>
        <w:ind w:firstLine="720"/>
        <w:jc w:val="both"/>
        <w:rPr>
          <w:rFonts w:ascii="Times New Roman" w:hAnsi="Times New Roman"/>
          <w:lang w:val="en-US"/>
        </w:rPr>
      </w:pPr>
    </w:p>
    <w:p w14:paraId="12ABEE0A" w14:textId="77777777" w:rsidR="0039104D" w:rsidRDefault="0039104D" w:rsidP="0039104D">
      <w:pPr>
        <w:pStyle w:val="ListParagraph"/>
        <w:numPr>
          <w:ilvl w:val="0"/>
          <w:numId w:val="42"/>
        </w:numPr>
        <w:spacing w:after="0" w:line="240" w:lineRule="auto"/>
        <w:jc w:val="both"/>
        <w:rPr>
          <w:rFonts w:ascii="Times New Roman" w:eastAsia="Times New Roman" w:hAnsi="Times New Roman"/>
          <w:lang w:val="en-US"/>
        </w:rPr>
      </w:pPr>
      <w:r>
        <w:rPr>
          <w:rFonts w:ascii="Times New Roman" w:eastAsia="Times New Roman" w:hAnsi="Times New Roman"/>
          <w:lang w:val="en-US"/>
        </w:rPr>
        <w:lastRenderedPageBreak/>
        <w:t>2006 - First Meeting of States Parties to CITAAC (in preparation for the Conference of the States Parties to be held in 2009)</w:t>
      </w:r>
    </w:p>
    <w:p w14:paraId="68D7C0A2" w14:textId="77777777" w:rsidR="0039104D" w:rsidRDefault="0039104D" w:rsidP="0039104D">
      <w:pPr>
        <w:pStyle w:val="ListParagraph"/>
        <w:numPr>
          <w:ilvl w:val="0"/>
          <w:numId w:val="42"/>
        </w:numPr>
        <w:spacing w:after="0" w:line="240" w:lineRule="auto"/>
        <w:jc w:val="both"/>
        <w:rPr>
          <w:rFonts w:ascii="Times New Roman" w:eastAsia="Times New Roman" w:hAnsi="Times New Roman"/>
          <w:lang w:val="en-US"/>
        </w:rPr>
      </w:pPr>
      <w:r>
        <w:rPr>
          <w:rFonts w:ascii="Times New Roman" w:eastAsia="Times New Roman" w:hAnsi="Times New Roman"/>
          <w:lang w:val="en-US"/>
        </w:rPr>
        <w:t>2008 - Second Meeting of States Parties to CITAAC (in preparation for the Conference of the States Parties to be held in 2009)</w:t>
      </w:r>
    </w:p>
    <w:p w14:paraId="3806003C" w14:textId="77777777" w:rsidR="0039104D" w:rsidRDefault="0039104D" w:rsidP="0039104D">
      <w:pPr>
        <w:pStyle w:val="ListParagraph"/>
        <w:numPr>
          <w:ilvl w:val="0"/>
          <w:numId w:val="42"/>
        </w:numPr>
        <w:spacing w:after="0" w:line="240" w:lineRule="auto"/>
        <w:jc w:val="both"/>
        <w:rPr>
          <w:rFonts w:ascii="Times New Roman" w:eastAsia="Times New Roman" w:hAnsi="Times New Roman"/>
          <w:lang w:val="en-US"/>
        </w:rPr>
      </w:pPr>
      <w:r>
        <w:rPr>
          <w:rFonts w:ascii="Times New Roman" w:eastAsia="Times New Roman" w:hAnsi="Times New Roman"/>
          <w:lang w:val="en-US"/>
        </w:rPr>
        <w:t>2009 - Third Meeting of States Parties to CITAAC (in preparation for the Conference of the States Parties to be held in 2009)</w:t>
      </w:r>
    </w:p>
    <w:p w14:paraId="5943E186" w14:textId="77777777" w:rsidR="0039104D" w:rsidRDefault="0039104D" w:rsidP="0039104D">
      <w:pPr>
        <w:pStyle w:val="ListParagraph"/>
        <w:numPr>
          <w:ilvl w:val="0"/>
          <w:numId w:val="42"/>
        </w:numPr>
        <w:spacing w:after="0" w:line="240" w:lineRule="auto"/>
        <w:jc w:val="both"/>
        <w:rPr>
          <w:rFonts w:ascii="Times New Roman" w:eastAsia="Times New Roman" w:hAnsi="Times New Roman"/>
          <w:lang w:val="en-US"/>
        </w:rPr>
      </w:pPr>
      <w:r>
        <w:rPr>
          <w:rFonts w:ascii="Times New Roman" w:eastAsia="Times New Roman" w:hAnsi="Times New Roman"/>
          <w:lang w:val="en-US"/>
        </w:rPr>
        <w:t>2009 - First Conference of the States Parties to CITAAC</w:t>
      </w:r>
    </w:p>
    <w:p w14:paraId="1C2FC8D1" w14:textId="77777777" w:rsidR="0039104D" w:rsidRDefault="0039104D" w:rsidP="0039104D">
      <w:pPr>
        <w:pStyle w:val="ListParagraph"/>
        <w:numPr>
          <w:ilvl w:val="0"/>
          <w:numId w:val="42"/>
        </w:numPr>
        <w:spacing w:after="0" w:line="240" w:lineRule="auto"/>
        <w:jc w:val="both"/>
        <w:rPr>
          <w:rFonts w:ascii="Times New Roman" w:eastAsia="Times New Roman" w:hAnsi="Times New Roman"/>
          <w:lang w:val="en-US"/>
        </w:rPr>
      </w:pPr>
      <w:r>
        <w:rPr>
          <w:rFonts w:ascii="Times New Roman" w:eastAsia="Times New Roman" w:hAnsi="Times New Roman"/>
          <w:lang w:val="en-US"/>
        </w:rPr>
        <w:t>2013 - Meeting of National Contact Points of CITAAC</w:t>
      </w:r>
    </w:p>
    <w:p w14:paraId="7037CC6B" w14:textId="77777777" w:rsidR="0039104D" w:rsidRDefault="0039104D" w:rsidP="0039104D">
      <w:pPr>
        <w:autoSpaceDE w:val="0"/>
        <w:autoSpaceDN w:val="0"/>
        <w:adjustRightInd w:val="0"/>
        <w:spacing w:after="0" w:line="240" w:lineRule="auto"/>
        <w:ind w:firstLine="720"/>
        <w:jc w:val="both"/>
        <w:rPr>
          <w:rFonts w:ascii="Times New Roman" w:hAnsi="Times New Roman"/>
          <w:lang w:val="en-US"/>
        </w:rPr>
      </w:pPr>
    </w:p>
    <w:p w14:paraId="27AA248D" w14:textId="77777777" w:rsidR="0039104D" w:rsidRDefault="0039104D" w:rsidP="0039104D">
      <w:pPr>
        <w:autoSpaceDE w:val="0"/>
        <w:autoSpaceDN w:val="0"/>
        <w:adjustRightInd w:val="0"/>
        <w:spacing w:after="0" w:line="240" w:lineRule="auto"/>
        <w:jc w:val="both"/>
        <w:rPr>
          <w:rFonts w:ascii="Times New Roman" w:eastAsia="Times New Roman" w:hAnsi="Times New Roman"/>
          <w:lang w:val="en-US"/>
        </w:rPr>
      </w:pPr>
      <w:r>
        <w:rPr>
          <w:rFonts w:ascii="Times New Roman" w:hAnsi="Times New Roman"/>
          <w:lang w:val="en-US"/>
        </w:rPr>
        <w:t xml:space="preserve">In these opportunities, State Parties have discussed the challenges of complying with annual reporting, and strategies to increase the level of reporting. They </w:t>
      </w:r>
      <w:r>
        <w:rPr>
          <w:rFonts w:ascii="Times New Roman" w:eastAsia="Times New Roman" w:hAnsi="Times New Roman"/>
          <w:lang w:val="en-US"/>
        </w:rPr>
        <w:t xml:space="preserve">have reiterated the need to establish follow-up mechanisms to increase the operationalization of CITAAC, and to assist states parties with implementing its provisions, including the establishment of a Technical Secretariat. A dedicated technical Secretariat would be able to provide support to countries with their </w:t>
      </w:r>
      <w:proofErr w:type="gramStart"/>
      <w:r>
        <w:rPr>
          <w:rFonts w:ascii="Times New Roman" w:eastAsia="Times New Roman" w:hAnsi="Times New Roman"/>
          <w:lang w:val="en-US"/>
        </w:rPr>
        <w:t>reports,  systematize</w:t>
      </w:r>
      <w:proofErr w:type="gramEnd"/>
      <w:r>
        <w:rPr>
          <w:rFonts w:ascii="Times New Roman" w:eastAsia="Times New Roman" w:hAnsi="Times New Roman"/>
          <w:lang w:val="en-US"/>
        </w:rPr>
        <w:t xml:space="preserve"> and circulate the information of the reports, and promote a dialogue among States Parties through the consistent organization of Conferences and meetings.</w:t>
      </w:r>
    </w:p>
    <w:p w14:paraId="4548FC7B" w14:textId="77777777" w:rsidR="0039104D" w:rsidRDefault="0039104D" w:rsidP="0039104D">
      <w:pPr>
        <w:autoSpaceDE w:val="0"/>
        <w:autoSpaceDN w:val="0"/>
        <w:adjustRightInd w:val="0"/>
        <w:spacing w:after="0" w:line="240" w:lineRule="auto"/>
        <w:jc w:val="both"/>
        <w:rPr>
          <w:rFonts w:ascii="Times New Roman" w:hAnsi="Times New Roman"/>
          <w:lang w:val="en-US"/>
        </w:rPr>
      </w:pPr>
    </w:p>
    <w:p w14:paraId="1C0ACA8F"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With the holding of the Second Conference, the expectation is for the State Parties to consider the establishment of the governance of CITAAC, with the institutionalization of the Consultative Committee and Technical Secretariat, </w:t>
      </w:r>
      <w:proofErr w:type="gramStart"/>
      <w:r>
        <w:rPr>
          <w:rFonts w:ascii="Times New Roman" w:hAnsi="Times New Roman"/>
          <w:lang w:val="en-US"/>
        </w:rPr>
        <w:t>so as to</w:t>
      </w:r>
      <w:proofErr w:type="gramEnd"/>
      <w:r>
        <w:rPr>
          <w:rFonts w:ascii="Times New Roman" w:hAnsi="Times New Roman"/>
          <w:lang w:val="en-US"/>
        </w:rPr>
        <w:t xml:space="preserve"> strengthen the Convention. Additionally, it is expected to carry out a comprehensive discussion regarding a way forward for CITAAC. </w:t>
      </w:r>
    </w:p>
    <w:p w14:paraId="65099B8D" w14:textId="77777777" w:rsidR="0039104D" w:rsidRDefault="0039104D" w:rsidP="0039104D">
      <w:pPr>
        <w:autoSpaceDE w:val="0"/>
        <w:autoSpaceDN w:val="0"/>
        <w:adjustRightInd w:val="0"/>
        <w:spacing w:after="0" w:line="240" w:lineRule="auto"/>
        <w:ind w:firstLine="720"/>
        <w:jc w:val="both"/>
        <w:rPr>
          <w:rFonts w:ascii="Times New Roman" w:hAnsi="Times New Roman"/>
          <w:lang w:val="en-US"/>
        </w:rPr>
      </w:pPr>
    </w:p>
    <w:p w14:paraId="3CA154A1" w14:textId="77777777" w:rsidR="0039104D" w:rsidRDefault="0039104D" w:rsidP="0039104D">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OBJECTIVES</w:t>
      </w:r>
    </w:p>
    <w:p w14:paraId="14386741" w14:textId="77777777" w:rsidR="0039104D" w:rsidRDefault="0039104D" w:rsidP="0039104D">
      <w:pPr>
        <w:autoSpaceDE w:val="0"/>
        <w:autoSpaceDN w:val="0"/>
        <w:adjustRightInd w:val="0"/>
        <w:spacing w:line="240" w:lineRule="auto"/>
        <w:contextualSpacing/>
        <w:jc w:val="both"/>
        <w:rPr>
          <w:rFonts w:ascii="Times New Roman" w:eastAsia="SimSun" w:hAnsi="Times New Roman"/>
          <w:lang w:val="en-US" w:eastAsia="es-MX"/>
        </w:rPr>
      </w:pPr>
    </w:p>
    <w:p w14:paraId="52DDD605" w14:textId="77777777" w:rsidR="0039104D" w:rsidRDefault="0039104D" w:rsidP="0039104D">
      <w:pPr>
        <w:autoSpaceDE w:val="0"/>
        <w:autoSpaceDN w:val="0"/>
        <w:adjustRightInd w:val="0"/>
        <w:spacing w:after="0" w:line="240" w:lineRule="auto"/>
        <w:ind w:firstLine="720"/>
        <w:jc w:val="both"/>
        <w:rPr>
          <w:rFonts w:ascii="Times New Roman" w:hAnsi="Times New Roman"/>
          <w:lang w:val="en-US"/>
        </w:rPr>
      </w:pPr>
      <w:r>
        <w:rPr>
          <w:rFonts w:ascii="Times New Roman" w:hAnsi="Times New Roman"/>
          <w:lang w:val="en-US"/>
        </w:rPr>
        <w:t>The objectives of the Second Conference of CITAAC are:</w:t>
      </w:r>
    </w:p>
    <w:p w14:paraId="23685A81" w14:textId="77777777" w:rsidR="0039104D" w:rsidRDefault="0039104D" w:rsidP="0039104D">
      <w:pPr>
        <w:autoSpaceDE w:val="0"/>
        <w:autoSpaceDN w:val="0"/>
        <w:adjustRightInd w:val="0"/>
        <w:spacing w:after="0" w:line="240" w:lineRule="auto"/>
        <w:ind w:firstLine="720"/>
        <w:jc w:val="both"/>
        <w:rPr>
          <w:rFonts w:ascii="Times New Roman" w:hAnsi="Times New Roman"/>
          <w:lang w:val="en-US"/>
        </w:rPr>
      </w:pPr>
    </w:p>
    <w:p w14:paraId="7564D4C9" w14:textId="77777777" w:rsidR="0039104D" w:rsidRDefault="0039104D" w:rsidP="0039104D">
      <w:pPr>
        <w:pStyle w:val="ListParagraph"/>
        <w:numPr>
          <w:ilvl w:val="0"/>
          <w:numId w:val="43"/>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Consider and approve the Draft Rules of Procedure of the Conference of the States Parties to CITAAC, and the Draft Rules of Procedure of the CITAAC Consultative </w:t>
      </w:r>
      <w:proofErr w:type="gramStart"/>
      <w:r>
        <w:rPr>
          <w:rFonts w:ascii="Times New Roman" w:hAnsi="Times New Roman"/>
          <w:lang w:val="en-US"/>
        </w:rPr>
        <w:t>Committee;</w:t>
      </w:r>
      <w:proofErr w:type="gramEnd"/>
    </w:p>
    <w:p w14:paraId="38441FA0" w14:textId="77777777" w:rsidR="0039104D" w:rsidRDefault="0039104D" w:rsidP="0039104D">
      <w:pPr>
        <w:pStyle w:val="ListParagraph"/>
        <w:autoSpaceDE w:val="0"/>
        <w:autoSpaceDN w:val="0"/>
        <w:adjustRightInd w:val="0"/>
        <w:spacing w:after="0" w:line="240" w:lineRule="auto"/>
        <w:ind w:left="1080"/>
        <w:jc w:val="both"/>
        <w:rPr>
          <w:rFonts w:ascii="Times New Roman" w:hAnsi="Times New Roman"/>
          <w:lang w:val="en-US"/>
        </w:rPr>
      </w:pPr>
    </w:p>
    <w:p w14:paraId="287E19AA" w14:textId="77777777" w:rsidR="0039104D" w:rsidRDefault="0039104D" w:rsidP="0039104D">
      <w:pPr>
        <w:pStyle w:val="ListParagraph"/>
        <w:numPr>
          <w:ilvl w:val="0"/>
          <w:numId w:val="43"/>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Analyze the progress in the implementation of the Convention and consider potential additional transparency measures, including alterations to the list of Conventional </w:t>
      </w:r>
      <w:proofErr w:type="gramStart"/>
      <w:r>
        <w:rPr>
          <w:rFonts w:ascii="Times New Roman" w:hAnsi="Times New Roman"/>
          <w:lang w:val="en-US"/>
        </w:rPr>
        <w:t>Weapons;</w:t>
      </w:r>
      <w:proofErr w:type="gramEnd"/>
    </w:p>
    <w:p w14:paraId="08AB4EC0" w14:textId="77777777" w:rsidR="0039104D" w:rsidRDefault="0039104D" w:rsidP="0039104D">
      <w:pPr>
        <w:autoSpaceDE w:val="0"/>
        <w:autoSpaceDN w:val="0"/>
        <w:adjustRightInd w:val="0"/>
        <w:spacing w:after="0" w:line="240" w:lineRule="auto"/>
        <w:jc w:val="both"/>
        <w:rPr>
          <w:rFonts w:ascii="Times New Roman" w:hAnsi="Times New Roman"/>
          <w:lang w:val="en-US"/>
        </w:rPr>
      </w:pPr>
    </w:p>
    <w:p w14:paraId="2EF8D3DF" w14:textId="77777777" w:rsidR="0039104D" w:rsidRDefault="0039104D" w:rsidP="0039104D">
      <w:pPr>
        <w:pStyle w:val="ListParagraph"/>
        <w:numPr>
          <w:ilvl w:val="0"/>
          <w:numId w:val="43"/>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Discuss priorities and objectives to advance in the fulfillment of the provisions of the </w:t>
      </w:r>
      <w:proofErr w:type="gramStart"/>
      <w:r>
        <w:rPr>
          <w:rFonts w:ascii="Times New Roman" w:hAnsi="Times New Roman"/>
          <w:lang w:val="en-US"/>
        </w:rPr>
        <w:t>Convention;</w:t>
      </w:r>
      <w:proofErr w:type="gramEnd"/>
    </w:p>
    <w:p w14:paraId="1AE4EDBA" w14:textId="77777777" w:rsidR="0039104D" w:rsidRDefault="0039104D" w:rsidP="0039104D">
      <w:pPr>
        <w:pStyle w:val="ListParagraph"/>
        <w:autoSpaceDE w:val="0"/>
        <w:autoSpaceDN w:val="0"/>
        <w:adjustRightInd w:val="0"/>
        <w:spacing w:after="0" w:line="240" w:lineRule="auto"/>
        <w:ind w:left="1080"/>
        <w:jc w:val="both"/>
        <w:rPr>
          <w:rFonts w:ascii="Times New Roman" w:hAnsi="Times New Roman"/>
          <w:lang w:val="en-US"/>
        </w:rPr>
      </w:pPr>
    </w:p>
    <w:p w14:paraId="5B80B8A2" w14:textId="77777777" w:rsidR="0039104D" w:rsidRDefault="0039104D" w:rsidP="0039104D">
      <w:pPr>
        <w:pStyle w:val="ListParagraph"/>
        <w:numPr>
          <w:ilvl w:val="0"/>
          <w:numId w:val="43"/>
        </w:numPr>
        <w:autoSpaceDE w:val="0"/>
        <w:autoSpaceDN w:val="0"/>
        <w:adjustRightInd w:val="0"/>
        <w:spacing w:after="0" w:line="240" w:lineRule="auto"/>
        <w:jc w:val="both"/>
        <w:rPr>
          <w:rFonts w:ascii="Times New Roman" w:hAnsi="Times New Roman"/>
          <w:b/>
          <w:lang w:val="en-US"/>
        </w:rPr>
      </w:pPr>
      <w:r>
        <w:rPr>
          <w:rFonts w:ascii="Times New Roman" w:hAnsi="Times New Roman"/>
          <w:lang w:val="en-US"/>
        </w:rPr>
        <w:t xml:space="preserve">Consider and approve the Recommendations of the Second Conference of States Parties. </w:t>
      </w:r>
    </w:p>
    <w:p w14:paraId="7438044D" w14:textId="77777777" w:rsidR="0039104D" w:rsidRDefault="0039104D" w:rsidP="0039104D">
      <w:pPr>
        <w:pStyle w:val="ListParagraph"/>
        <w:autoSpaceDE w:val="0"/>
        <w:autoSpaceDN w:val="0"/>
        <w:adjustRightInd w:val="0"/>
        <w:spacing w:after="0" w:line="240" w:lineRule="auto"/>
        <w:ind w:left="1080"/>
        <w:jc w:val="both"/>
        <w:rPr>
          <w:rFonts w:ascii="Times New Roman" w:hAnsi="Times New Roman"/>
          <w:b/>
          <w:lang w:val="en-US"/>
        </w:rPr>
      </w:pPr>
    </w:p>
    <w:p w14:paraId="2409FBEE" w14:textId="77777777" w:rsidR="0039104D" w:rsidRDefault="0039104D" w:rsidP="0039104D">
      <w:pPr>
        <w:autoSpaceDE w:val="0"/>
        <w:autoSpaceDN w:val="0"/>
        <w:adjustRightInd w:val="0"/>
        <w:spacing w:after="0" w:line="240" w:lineRule="auto"/>
        <w:jc w:val="both"/>
        <w:rPr>
          <w:rFonts w:ascii="Times New Roman" w:hAnsi="Times New Roman"/>
          <w:b/>
          <w:lang w:val="pt-BR"/>
        </w:rPr>
      </w:pPr>
      <w:r>
        <w:rPr>
          <w:rFonts w:ascii="Times New Roman" w:hAnsi="Times New Roman"/>
          <w:b/>
          <w:lang w:val="pt-BR"/>
        </w:rPr>
        <w:t>FORMAT OF THE MEETING</w:t>
      </w:r>
    </w:p>
    <w:p w14:paraId="2E1299FA" w14:textId="77777777" w:rsidR="0039104D" w:rsidRDefault="0039104D" w:rsidP="0039104D">
      <w:pPr>
        <w:autoSpaceDE w:val="0"/>
        <w:autoSpaceDN w:val="0"/>
        <w:adjustRightInd w:val="0"/>
        <w:spacing w:after="0" w:line="240" w:lineRule="auto"/>
        <w:jc w:val="both"/>
        <w:rPr>
          <w:rFonts w:ascii="Times New Roman" w:hAnsi="Times New Roman"/>
          <w:lang w:val="pt-BR"/>
        </w:rPr>
      </w:pPr>
    </w:p>
    <w:p w14:paraId="1AA9CE5C" w14:textId="77777777" w:rsidR="0039104D" w:rsidRDefault="0039104D" w:rsidP="0039104D">
      <w:pPr>
        <w:numPr>
          <w:ilvl w:val="0"/>
          <w:numId w:val="44"/>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The II Conference will be a one-day meeting, with a two-hour morning session (10 am to 12 pm – Washington-DC time), and a two-hour afternoon session (2:30 pm to 4:30 pm – Washington-DC time). It will be held through the virtual platform used by the OAS for virtual sessions (Kudo Platform), and will be divided into six segments: </w:t>
      </w:r>
    </w:p>
    <w:p w14:paraId="7F5E5E48" w14:textId="77777777" w:rsidR="0039104D" w:rsidRDefault="0039104D" w:rsidP="0039104D">
      <w:pPr>
        <w:numPr>
          <w:ilvl w:val="0"/>
          <w:numId w:val="34"/>
        </w:numPr>
        <w:autoSpaceDE w:val="0"/>
        <w:autoSpaceDN w:val="0"/>
        <w:adjustRightInd w:val="0"/>
        <w:spacing w:before="120" w:after="120" w:line="240" w:lineRule="auto"/>
        <w:jc w:val="both"/>
        <w:rPr>
          <w:rFonts w:ascii="Times New Roman" w:hAnsi="Times New Roman"/>
          <w:lang w:val="en-US"/>
        </w:rPr>
      </w:pPr>
      <w:r>
        <w:rPr>
          <w:rFonts w:ascii="Times New Roman" w:hAnsi="Times New Roman"/>
          <w:lang w:val="en-US"/>
        </w:rPr>
        <w:t xml:space="preserve">Connection to the </w:t>
      </w:r>
      <w:proofErr w:type="gramStart"/>
      <w:r>
        <w:rPr>
          <w:rFonts w:ascii="Times New Roman" w:hAnsi="Times New Roman"/>
          <w:lang w:val="en-US"/>
        </w:rPr>
        <w:t>platform;</w:t>
      </w:r>
      <w:proofErr w:type="gramEnd"/>
      <w:r>
        <w:rPr>
          <w:rFonts w:ascii="Times New Roman" w:hAnsi="Times New Roman"/>
          <w:lang w:val="en-US"/>
        </w:rPr>
        <w:t xml:space="preserve"> </w:t>
      </w:r>
    </w:p>
    <w:p w14:paraId="6253FF91" w14:textId="77777777" w:rsidR="0039104D" w:rsidRDefault="0039104D" w:rsidP="0039104D">
      <w:pPr>
        <w:numPr>
          <w:ilvl w:val="0"/>
          <w:numId w:val="34"/>
        </w:numPr>
        <w:autoSpaceDE w:val="0"/>
        <w:autoSpaceDN w:val="0"/>
        <w:adjustRightInd w:val="0"/>
        <w:spacing w:before="120" w:after="120" w:line="240" w:lineRule="auto"/>
        <w:jc w:val="both"/>
        <w:rPr>
          <w:rFonts w:ascii="Times New Roman" w:hAnsi="Times New Roman"/>
          <w:lang w:val="en-US"/>
        </w:rPr>
      </w:pPr>
      <w:r>
        <w:rPr>
          <w:rFonts w:ascii="Times New Roman" w:hAnsi="Times New Roman"/>
          <w:lang w:val="en-US"/>
        </w:rPr>
        <w:t xml:space="preserve">Opening </w:t>
      </w:r>
      <w:proofErr w:type="gramStart"/>
      <w:r>
        <w:rPr>
          <w:rFonts w:ascii="Times New Roman" w:hAnsi="Times New Roman"/>
          <w:lang w:val="en-US"/>
        </w:rPr>
        <w:t>Ceremony;</w:t>
      </w:r>
      <w:proofErr w:type="gramEnd"/>
      <w:r>
        <w:rPr>
          <w:rFonts w:ascii="Times New Roman" w:hAnsi="Times New Roman"/>
          <w:lang w:val="en-US"/>
        </w:rPr>
        <w:t xml:space="preserve"> </w:t>
      </w:r>
    </w:p>
    <w:p w14:paraId="4B8050FD" w14:textId="77777777" w:rsidR="0039104D" w:rsidRDefault="0039104D" w:rsidP="0039104D">
      <w:pPr>
        <w:numPr>
          <w:ilvl w:val="0"/>
          <w:numId w:val="34"/>
        </w:numPr>
        <w:autoSpaceDE w:val="0"/>
        <w:autoSpaceDN w:val="0"/>
        <w:adjustRightInd w:val="0"/>
        <w:spacing w:before="120" w:after="120" w:line="240" w:lineRule="auto"/>
        <w:jc w:val="both"/>
        <w:rPr>
          <w:rFonts w:ascii="Times New Roman" w:hAnsi="Times New Roman"/>
          <w:lang w:val="en-US"/>
        </w:rPr>
      </w:pPr>
      <w:r>
        <w:rPr>
          <w:rFonts w:ascii="Times New Roman" w:hAnsi="Times New Roman"/>
          <w:lang w:val="en-US"/>
        </w:rPr>
        <w:lastRenderedPageBreak/>
        <w:t xml:space="preserve">Introductory Session, during which the Chair, Vice-chair, and Rapporteur of the Conference will be elected. Immediately after the elections, the meeting agenda and schedule will be approved. The General Secretariat of the OAS will present a report on the status of the </w:t>
      </w:r>
      <w:proofErr w:type="gramStart"/>
      <w:r>
        <w:rPr>
          <w:rFonts w:ascii="Times New Roman" w:hAnsi="Times New Roman"/>
          <w:lang w:val="en-US"/>
        </w:rPr>
        <w:t>convention;</w:t>
      </w:r>
      <w:proofErr w:type="gramEnd"/>
    </w:p>
    <w:p w14:paraId="14AFE8A8" w14:textId="77777777" w:rsidR="0039104D" w:rsidRDefault="0039104D" w:rsidP="0039104D">
      <w:pPr>
        <w:numPr>
          <w:ilvl w:val="0"/>
          <w:numId w:val="34"/>
        </w:numPr>
        <w:autoSpaceDE w:val="0"/>
        <w:autoSpaceDN w:val="0"/>
        <w:adjustRightInd w:val="0"/>
        <w:spacing w:before="120" w:after="120" w:line="240" w:lineRule="auto"/>
        <w:jc w:val="both"/>
        <w:rPr>
          <w:rFonts w:ascii="Times New Roman" w:hAnsi="Times New Roman"/>
          <w:lang w:val="en-US"/>
        </w:rPr>
      </w:pPr>
      <w:r>
        <w:rPr>
          <w:rFonts w:ascii="Times New Roman" w:hAnsi="Times New Roman"/>
          <w:lang w:val="en-US"/>
        </w:rPr>
        <w:t xml:space="preserve">Session to discuss the institutionalization of the CITAAC, with a presentation of the General Secretariat of the OAS about the efforts to strengthen the Convention. States Parties will then consider the approval of the two documents to institutionalize the Convention: Rules of Procedure on the Conference of the State Parties and the Rules of Procedure on the Consultative </w:t>
      </w:r>
      <w:proofErr w:type="gramStart"/>
      <w:r>
        <w:rPr>
          <w:rFonts w:ascii="Times New Roman" w:hAnsi="Times New Roman"/>
          <w:lang w:val="en-US"/>
        </w:rPr>
        <w:t>Committee;</w:t>
      </w:r>
      <w:proofErr w:type="gramEnd"/>
    </w:p>
    <w:p w14:paraId="3B7D3A57" w14:textId="77777777" w:rsidR="0039104D" w:rsidRDefault="0039104D" w:rsidP="0039104D">
      <w:pPr>
        <w:numPr>
          <w:ilvl w:val="0"/>
          <w:numId w:val="34"/>
        </w:numPr>
        <w:autoSpaceDE w:val="0"/>
        <w:autoSpaceDN w:val="0"/>
        <w:adjustRightInd w:val="0"/>
        <w:spacing w:before="120" w:after="120" w:line="240" w:lineRule="auto"/>
        <w:jc w:val="both"/>
        <w:rPr>
          <w:rFonts w:ascii="Times New Roman" w:hAnsi="Times New Roman"/>
          <w:lang w:val="en-US"/>
        </w:rPr>
      </w:pPr>
      <w:r>
        <w:rPr>
          <w:rFonts w:ascii="Times New Roman" w:hAnsi="Times New Roman"/>
          <w:lang w:val="en-US"/>
        </w:rPr>
        <w:t xml:space="preserve">Member States will be invited to participate in two thematic panels and one technical panel, as described </w:t>
      </w:r>
      <w:proofErr w:type="gramStart"/>
      <w:r>
        <w:rPr>
          <w:rFonts w:ascii="Times New Roman" w:hAnsi="Times New Roman"/>
          <w:lang w:val="en-US"/>
        </w:rPr>
        <w:t>below;</w:t>
      </w:r>
      <w:proofErr w:type="gramEnd"/>
    </w:p>
    <w:p w14:paraId="4E33F61E" w14:textId="77777777" w:rsidR="0039104D" w:rsidRDefault="0039104D" w:rsidP="0039104D">
      <w:pPr>
        <w:numPr>
          <w:ilvl w:val="0"/>
          <w:numId w:val="34"/>
        </w:numPr>
        <w:autoSpaceDE w:val="0"/>
        <w:autoSpaceDN w:val="0"/>
        <w:adjustRightInd w:val="0"/>
        <w:spacing w:before="120" w:after="120" w:line="240" w:lineRule="auto"/>
        <w:jc w:val="both"/>
        <w:rPr>
          <w:rFonts w:ascii="Times New Roman" w:hAnsi="Times New Roman"/>
          <w:lang w:val="en-US"/>
        </w:rPr>
      </w:pPr>
      <w:r>
        <w:rPr>
          <w:rFonts w:ascii="Times New Roman" w:hAnsi="Times New Roman"/>
          <w:lang w:val="en-US"/>
        </w:rPr>
        <w:t xml:space="preserve">Approval of the Recommendations of the Second Conference of States Parties to the CITAAC; and </w:t>
      </w:r>
    </w:p>
    <w:p w14:paraId="3A75C6EC" w14:textId="77777777" w:rsidR="0039104D" w:rsidRDefault="0039104D" w:rsidP="0039104D">
      <w:pPr>
        <w:numPr>
          <w:ilvl w:val="0"/>
          <w:numId w:val="34"/>
        </w:numPr>
        <w:autoSpaceDE w:val="0"/>
        <w:autoSpaceDN w:val="0"/>
        <w:adjustRightInd w:val="0"/>
        <w:spacing w:before="120" w:after="120" w:line="240" w:lineRule="auto"/>
        <w:jc w:val="both"/>
        <w:rPr>
          <w:rFonts w:ascii="Times New Roman" w:hAnsi="Times New Roman"/>
          <w:lang w:val="en-US"/>
        </w:rPr>
      </w:pPr>
      <w:r>
        <w:rPr>
          <w:rFonts w:ascii="Times New Roman" w:hAnsi="Times New Roman"/>
          <w:lang w:val="en-US"/>
        </w:rPr>
        <w:t>Closing Ceremony.</w:t>
      </w:r>
    </w:p>
    <w:p w14:paraId="535D2666" w14:textId="77777777" w:rsidR="0039104D" w:rsidRDefault="0039104D" w:rsidP="0039104D">
      <w:pPr>
        <w:autoSpaceDE w:val="0"/>
        <w:autoSpaceDN w:val="0"/>
        <w:adjustRightInd w:val="0"/>
        <w:spacing w:after="0" w:line="240" w:lineRule="auto"/>
        <w:jc w:val="both"/>
        <w:rPr>
          <w:rFonts w:ascii="Times New Roman" w:hAnsi="Times New Roman"/>
          <w:b/>
          <w:lang w:val="en-US"/>
        </w:rPr>
      </w:pPr>
    </w:p>
    <w:p w14:paraId="3796E8A7" w14:textId="77777777" w:rsidR="0039104D" w:rsidRDefault="0039104D" w:rsidP="0039104D">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INSTITUTIONALIZATION OF CITAAC</w:t>
      </w:r>
    </w:p>
    <w:p w14:paraId="33682117" w14:textId="77777777" w:rsidR="0039104D" w:rsidRDefault="0039104D" w:rsidP="0039104D">
      <w:pPr>
        <w:autoSpaceDE w:val="0"/>
        <w:autoSpaceDN w:val="0"/>
        <w:adjustRightInd w:val="0"/>
        <w:spacing w:after="0" w:line="240" w:lineRule="auto"/>
        <w:jc w:val="both"/>
        <w:rPr>
          <w:rFonts w:ascii="Times New Roman" w:hAnsi="Times New Roman"/>
          <w:b/>
          <w:lang w:val="en-US"/>
        </w:rPr>
      </w:pPr>
    </w:p>
    <w:p w14:paraId="3CCA41B4" w14:textId="77777777" w:rsidR="0039104D" w:rsidRDefault="0039104D" w:rsidP="0039104D">
      <w:pPr>
        <w:autoSpaceDE w:val="0"/>
        <w:autoSpaceDN w:val="0"/>
        <w:adjustRightInd w:val="0"/>
        <w:spacing w:after="0" w:line="240" w:lineRule="auto"/>
        <w:jc w:val="both"/>
        <w:rPr>
          <w:rFonts w:ascii="Times New Roman" w:eastAsia="Times New Roman" w:hAnsi="Times New Roman"/>
          <w:lang w:val="en-US"/>
        </w:rPr>
      </w:pPr>
      <w:proofErr w:type="gramStart"/>
      <w:r>
        <w:rPr>
          <w:rFonts w:ascii="Times New Roman" w:hAnsi="Times New Roman"/>
          <w:lang w:val="en-US"/>
        </w:rPr>
        <w:t>T</w:t>
      </w:r>
      <w:r>
        <w:rPr>
          <w:rFonts w:ascii="Times New Roman" w:eastAsia="Times New Roman" w:hAnsi="Times New Roman"/>
          <w:lang w:val="en-US"/>
        </w:rPr>
        <w:t>aking into account</w:t>
      </w:r>
      <w:proofErr w:type="gramEnd"/>
      <w:r>
        <w:rPr>
          <w:rFonts w:ascii="Times New Roman" w:eastAsia="Times New Roman" w:hAnsi="Times New Roman"/>
          <w:lang w:val="en-US"/>
        </w:rPr>
        <w:t xml:space="preserve"> the previous recommendations of the meetings of the State Parties of CITAAC, OAS Member States have requested the General Secretariat of the OAS to take appropriate steps to establish and define a technical secretariat for CITAAC, to assist member states with implementation of the Convention (paragraph 94 of resolution AG/RES. 2945 (XLIX-O/19). </w:t>
      </w:r>
    </w:p>
    <w:p w14:paraId="364761C5" w14:textId="77777777" w:rsidR="0039104D" w:rsidRDefault="0039104D" w:rsidP="0039104D">
      <w:pPr>
        <w:autoSpaceDE w:val="0"/>
        <w:autoSpaceDN w:val="0"/>
        <w:adjustRightInd w:val="0"/>
        <w:spacing w:after="0" w:line="240" w:lineRule="auto"/>
        <w:ind w:firstLine="720"/>
        <w:jc w:val="both"/>
        <w:rPr>
          <w:rFonts w:ascii="Times New Roman" w:eastAsia="Times New Roman" w:hAnsi="Times New Roman"/>
          <w:lang w:val="en-US"/>
        </w:rPr>
      </w:pPr>
    </w:p>
    <w:p w14:paraId="6B7E9210" w14:textId="77777777" w:rsidR="0039104D" w:rsidRDefault="0039104D" w:rsidP="0039104D">
      <w:pPr>
        <w:spacing w:after="0" w:line="240" w:lineRule="auto"/>
        <w:jc w:val="both"/>
        <w:rPr>
          <w:rFonts w:ascii="Times New Roman" w:eastAsia="Times New Roman" w:hAnsi="Times New Roman"/>
          <w:lang w:val="en-US"/>
        </w:rPr>
      </w:pPr>
      <w:r>
        <w:rPr>
          <w:rFonts w:ascii="Times New Roman" w:eastAsia="Times New Roman" w:hAnsi="Times New Roman"/>
          <w:lang w:val="en-US"/>
        </w:rPr>
        <w:t>Based on that mandate, the Department of Public Security of the Secretariat of Multidimensional Security of the OAS (DPS/OAS), with the support of the Inter-American Defense Board, has drafted two documents that would enable the institutionalization of CITAAC:</w:t>
      </w:r>
    </w:p>
    <w:p w14:paraId="71B6654C" w14:textId="77777777" w:rsidR="0039104D" w:rsidRDefault="0039104D" w:rsidP="0039104D">
      <w:pPr>
        <w:spacing w:after="0" w:line="240" w:lineRule="auto"/>
        <w:jc w:val="both"/>
        <w:rPr>
          <w:rFonts w:ascii="Times New Roman" w:eastAsia="Times New Roman" w:hAnsi="Times New Roman"/>
          <w:lang w:val="en-US"/>
        </w:rPr>
      </w:pPr>
    </w:p>
    <w:p w14:paraId="7D590D9D" w14:textId="77777777" w:rsidR="0039104D" w:rsidRDefault="0039104D" w:rsidP="0039104D">
      <w:pPr>
        <w:pStyle w:val="ListParagraph"/>
        <w:numPr>
          <w:ilvl w:val="0"/>
          <w:numId w:val="42"/>
        </w:numPr>
        <w:spacing w:after="0" w:line="240" w:lineRule="auto"/>
        <w:jc w:val="both"/>
        <w:rPr>
          <w:rFonts w:ascii="Times New Roman" w:eastAsia="Times New Roman" w:hAnsi="Times New Roman"/>
          <w:lang w:val="en-US"/>
        </w:rPr>
      </w:pPr>
      <w:r>
        <w:rPr>
          <w:rFonts w:ascii="Times New Roman" w:eastAsia="Times New Roman" w:hAnsi="Times New Roman"/>
          <w:lang w:val="en-US"/>
        </w:rPr>
        <w:t>Draft Rules of Procedure of the Conference of the States Parties to CITAAC</w:t>
      </w:r>
    </w:p>
    <w:p w14:paraId="5C6C4DB9" w14:textId="77777777" w:rsidR="0039104D" w:rsidRDefault="0039104D" w:rsidP="0039104D">
      <w:pPr>
        <w:pStyle w:val="ListParagraph"/>
        <w:numPr>
          <w:ilvl w:val="0"/>
          <w:numId w:val="42"/>
        </w:numPr>
        <w:spacing w:after="0" w:line="240" w:lineRule="auto"/>
        <w:jc w:val="both"/>
        <w:rPr>
          <w:rFonts w:ascii="Times New Roman" w:eastAsia="Times New Roman" w:hAnsi="Times New Roman"/>
          <w:lang w:val="en-US"/>
        </w:rPr>
      </w:pPr>
      <w:r>
        <w:rPr>
          <w:rFonts w:ascii="Times New Roman" w:eastAsia="Times New Roman" w:hAnsi="Times New Roman"/>
          <w:lang w:val="en-US"/>
        </w:rPr>
        <w:t>Draft Rules of Procedure of the CITAAC Consultative Committee</w:t>
      </w:r>
    </w:p>
    <w:p w14:paraId="41EE9EA1" w14:textId="77777777" w:rsidR="0039104D" w:rsidRDefault="0039104D" w:rsidP="0039104D">
      <w:pPr>
        <w:autoSpaceDE w:val="0"/>
        <w:autoSpaceDN w:val="0"/>
        <w:adjustRightInd w:val="0"/>
        <w:spacing w:after="0" w:line="240" w:lineRule="auto"/>
        <w:jc w:val="both"/>
        <w:rPr>
          <w:rFonts w:ascii="Times New Roman" w:hAnsi="Times New Roman"/>
          <w:lang w:val="en-US"/>
        </w:rPr>
      </w:pPr>
    </w:p>
    <w:p w14:paraId="7A4859F5"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The elaboration of these documents was guided by a desk review of other conventions and the CITAAC </w:t>
      </w:r>
      <w:proofErr w:type="gramStart"/>
      <w:r>
        <w:rPr>
          <w:rFonts w:ascii="Times New Roman" w:hAnsi="Times New Roman"/>
          <w:lang w:val="en-US"/>
        </w:rPr>
        <w:t>background, and</w:t>
      </w:r>
      <w:proofErr w:type="gramEnd"/>
      <w:r>
        <w:rPr>
          <w:rFonts w:ascii="Times New Roman" w:hAnsi="Times New Roman"/>
          <w:lang w:val="en-US"/>
        </w:rPr>
        <w:t xml:space="preserve"> is included in a report of the DPS/OAS to the Committee on Hemispheric Security (CSH) of the Permanent Council of the OAS (document CP/CSH-1978/20). The OAS Member States have analyzed both documents and endorsed them to be submitted to the consideration of the Second Conference of CITAAC (paragraph 80 of the AG/RES. 2970 – LI-O/21).</w:t>
      </w:r>
    </w:p>
    <w:p w14:paraId="44AFF32E" w14:textId="77777777" w:rsidR="0039104D" w:rsidRDefault="0039104D" w:rsidP="0039104D">
      <w:pPr>
        <w:autoSpaceDE w:val="0"/>
        <w:autoSpaceDN w:val="0"/>
        <w:adjustRightInd w:val="0"/>
        <w:spacing w:after="0" w:line="240" w:lineRule="auto"/>
        <w:jc w:val="both"/>
        <w:rPr>
          <w:rFonts w:ascii="Times New Roman" w:hAnsi="Times New Roman"/>
          <w:lang w:val="en-US"/>
        </w:rPr>
      </w:pPr>
    </w:p>
    <w:p w14:paraId="2D110A32" w14:textId="77777777" w:rsidR="0039104D" w:rsidRDefault="0039104D" w:rsidP="0039104D">
      <w:p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As such, during the Second Conference, it is expected State Parties consider the approval of the documents to institutionalize the CITAAC Technical Secretariat, as an effective mechanism to increase the operability of the Convention and assist the State Parties in the implementation of its provisions. </w:t>
      </w:r>
    </w:p>
    <w:p w14:paraId="01C0FBE1" w14:textId="77777777" w:rsidR="0039104D" w:rsidRDefault="0039104D" w:rsidP="0039104D">
      <w:pPr>
        <w:autoSpaceDE w:val="0"/>
        <w:autoSpaceDN w:val="0"/>
        <w:adjustRightInd w:val="0"/>
        <w:spacing w:after="0" w:line="240" w:lineRule="auto"/>
        <w:jc w:val="both"/>
        <w:rPr>
          <w:rFonts w:ascii="Times New Roman" w:hAnsi="Times New Roman"/>
          <w:b/>
          <w:lang w:val="en-US"/>
        </w:rPr>
      </w:pPr>
    </w:p>
    <w:p w14:paraId="638BA6CD" w14:textId="77777777" w:rsidR="0039104D" w:rsidRDefault="0039104D" w:rsidP="0039104D">
      <w:pPr>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PANELS</w:t>
      </w:r>
    </w:p>
    <w:p w14:paraId="7F8AEBED" w14:textId="77777777" w:rsidR="0039104D" w:rsidRDefault="0039104D" w:rsidP="0039104D">
      <w:pPr>
        <w:spacing w:after="0" w:line="240" w:lineRule="auto"/>
        <w:jc w:val="both"/>
        <w:rPr>
          <w:rFonts w:ascii="Times New Roman" w:hAnsi="Times New Roman"/>
          <w:b/>
          <w:lang w:val="en-US"/>
        </w:rPr>
      </w:pPr>
    </w:p>
    <w:p w14:paraId="0F89D1B2" w14:textId="77777777" w:rsidR="0039104D" w:rsidRDefault="0039104D" w:rsidP="0039104D">
      <w:pPr>
        <w:spacing w:after="0" w:line="240" w:lineRule="auto"/>
        <w:jc w:val="both"/>
        <w:rPr>
          <w:rFonts w:ascii="Times New Roman" w:hAnsi="Times New Roman"/>
          <w:lang w:val="en-US"/>
        </w:rPr>
      </w:pPr>
      <w:r>
        <w:rPr>
          <w:rFonts w:ascii="Times New Roman" w:hAnsi="Times New Roman"/>
          <w:lang w:val="en-US"/>
        </w:rPr>
        <w:t>There will be two thematic panels and one technical panel at the Conference. States Parties interested in being speakers on one or more topics are invited to communicate with the Department of Public Security of the OAS.</w:t>
      </w:r>
    </w:p>
    <w:p w14:paraId="353E5109" w14:textId="77777777" w:rsidR="0039104D" w:rsidRDefault="0039104D" w:rsidP="0039104D">
      <w:pPr>
        <w:spacing w:after="0" w:line="240" w:lineRule="auto"/>
        <w:jc w:val="both"/>
        <w:rPr>
          <w:rFonts w:ascii="Times New Roman" w:hAnsi="Times New Roman"/>
          <w:b/>
          <w:lang w:val="en-US"/>
        </w:rPr>
      </w:pPr>
    </w:p>
    <w:p w14:paraId="32B7A907" w14:textId="77777777" w:rsidR="0039104D" w:rsidRDefault="0039104D" w:rsidP="0039104D">
      <w:pPr>
        <w:spacing w:after="0" w:line="240" w:lineRule="auto"/>
        <w:jc w:val="both"/>
        <w:rPr>
          <w:rFonts w:ascii="Times New Roman" w:hAnsi="Times New Roman"/>
          <w:b/>
          <w:lang w:val="en-US" w:eastAsia="ja-JP"/>
        </w:rPr>
      </w:pPr>
      <w:r>
        <w:rPr>
          <w:rFonts w:ascii="Times New Roman" w:hAnsi="Times New Roman"/>
          <w:b/>
          <w:lang w:val="en-US"/>
        </w:rPr>
        <w:t xml:space="preserve">THEME 1. </w:t>
      </w:r>
      <w:r>
        <w:rPr>
          <w:rFonts w:ascii="Times New Roman" w:hAnsi="Times New Roman"/>
          <w:b/>
          <w:lang w:val="en-US" w:eastAsia="ja-JP"/>
        </w:rPr>
        <w:t>The relevance of the regional approach and synergies with other conventions</w:t>
      </w:r>
    </w:p>
    <w:p w14:paraId="4ADC3474" w14:textId="77777777" w:rsidR="0039104D" w:rsidRDefault="0039104D" w:rsidP="0039104D">
      <w:pPr>
        <w:spacing w:line="240" w:lineRule="auto"/>
        <w:contextualSpacing/>
        <w:rPr>
          <w:rFonts w:ascii="Times New Roman" w:eastAsia="SimSun" w:hAnsi="Times New Roman"/>
          <w:lang w:val="en-US" w:eastAsia="es-MX"/>
        </w:rPr>
      </w:pPr>
    </w:p>
    <w:p w14:paraId="7CD527D8" w14:textId="77777777" w:rsidR="0039104D" w:rsidRDefault="0039104D" w:rsidP="0039104D">
      <w:pPr>
        <w:spacing w:line="240" w:lineRule="auto"/>
        <w:contextualSpacing/>
        <w:jc w:val="both"/>
        <w:rPr>
          <w:rFonts w:ascii="Times New Roman" w:eastAsia="SimSun" w:hAnsi="Times New Roman"/>
          <w:lang w:val="en-US" w:eastAsia="es-MX"/>
        </w:rPr>
      </w:pPr>
      <w:r>
        <w:rPr>
          <w:rFonts w:ascii="Times New Roman" w:eastAsia="SimSun" w:hAnsi="Times New Roman"/>
          <w:lang w:val="en-US" w:eastAsia="es-MX"/>
        </w:rPr>
        <w:t xml:space="preserve">The first panel of the Conference seeks to promote an open dialogue about the relevance of the CITAAC as a regional tool, and its complementarity to related existing conventions and mechanisms. It will consider lessons learned, and collaboration processes that could be established to increase compliance with these instruments. </w:t>
      </w:r>
    </w:p>
    <w:p w14:paraId="18668447" w14:textId="77777777" w:rsidR="0039104D" w:rsidRDefault="0039104D" w:rsidP="0039104D">
      <w:pPr>
        <w:spacing w:line="240" w:lineRule="auto"/>
        <w:contextualSpacing/>
        <w:jc w:val="both"/>
        <w:rPr>
          <w:rFonts w:ascii="Times New Roman" w:eastAsia="SimSun" w:hAnsi="Times New Roman"/>
          <w:lang w:val="en-US" w:eastAsia="es-MX"/>
        </w:rPr>
      </w:pPr>
    </w:p>
    <w:p w14:paraId="2FED668B" w14:textId="77777777" w:rsidR="0039104D" w:rsidRDefault="0039104D" w:rsidP="0039104D">
      <w:pPr>
        <w:spacing w:line="240" w:lineRule="auto"/>
        <w:contextualSpacing/>
        <w:jc w:val="both"/>
        <w:rPr>
          <w:rFonts w:ascii="Times New Roman" w:eastAsia="SimSun" w:hAnsi="Times New Roman"/>
          <w:lang w:val="en-US" w:eastAsia="es-MX"/>
        </w:rPr>
      </w:pPr>
      <w:r>
        <w:rPr>
          <w:rFonts w:ascii="Times New Roman" w:eastAsia="SimSun" w:hAnsi="Times New Roman"/>
          <w:lang w:val="en-US" w:eastAsia="es-MX"/>
        </w:rPr>
        <w:t xml:space="preserve">At the United Nations level, two key instruments </w:t>
      </w:r>
      <w:proofErr w:type="gramStart"/>
      <w:r>
        <w:rPr>
          <w:rFonts w:ascii="Times New Roman" w:eastAsia="SimSun" w:hAnsi="Times New Roman"/>
          <w:lang w:val="en-US" w:eastAsia="es-MX"/>
        </w:rPr>
        <w:t>in particular promote</w:t>
      </w:r>
      <w:proofErr w:type="gramEnd"/>
      <w:r>
        <w:rPr>
          <w:rFonts w:ascii="Times New Roman" w:eastAsia="SimSun" w:hAnsi="Times New Roman"/>
          <w:lang w:val="en-US" w:eastAsia="es-MX"/>
        </w:rPr>
        <w:t xml:space="preserve"> transparency on transfers of conventional weapons:</w:t>
      </w:r>
    </w:p>
    <w:p w14:paraId="4183B8AA" w14:textId="77777777" w:rsidR="0039104D" w:rsidRDefault="0039104D" w:rsidP="0039104D">
      <w:pPr>
        <w:pStyle w:val="ListParagraph"/>
        <w:numPr>
          <w:ilvl w:val="0"/>
          <w:numId w:val="44"/>
        </w:numPr>
        <w:spacing w:after="160" w:line="240" w:lineRule="auto"/>
        <w:jc w:val="both"/>
        <w:rPr>
          <w:rFonts w:ascii="Times New Roman" w:hAnsi="Times New Roman"/>
          <w:lang w:val="en-US"/>
        </w:rPr>
      </w:pPr>
      <w:r>
        <w:rPr>
          <w:rFonts w:ascii="Times New Roman" w:hAnsi="Times New Roman"/>
          <w:lang w:val="en-US"/>
        </w:rPr>
        <w:t xml:space="preserve">United Nations Register of Conventional Arms (UNROCA): UNROCA was created in 1991 by the General Assembly of the United Nations. It is an annual reporting mechanism through which Governments share information on arms transfers they were involved in the previous year. It has two levels of reporting: one for transfers in seven pre-defined categories of heavy weapons, as well as small arms (“7+1”), and a second for additional background information, including current holdings of weaponry and procurement through national arms </w:t>
      </w:r>
      <w:proofErr w:type="gramStart"/>
      <w:r>
        <w:rPr>
          <w:rFonts w:ascii="Times New Roman" w:hAnsi="Times New Roman"/>
          <w:lang w:val="en-US"/>
        </w:rPr>
        <w:t>production;</w:t>
      </w:r>
      <w:proofErr w:type="gramEnd"/>
    </w:p>
    <w:p w14:paraId="75502740" w14:textId="77777777" w:rsidR="0039104D" w:rsidRDefault="0039104D" w:rsidP="0039104D">
      <w:pPr>
        <w:pStyle w:val="ListParagraph"/>
        <w:spacing w:after="160" w:line="240" w:lineRule="auto"/>
        <w:jc w:val="both"/>
        <w:rPr>
          <w:rFonts w:ascii="Times New Roman" w:hAnsi="Times New Roman"/>
          <w:lang w:val="en-US"/>
        </w:rPr>
      </w:pPr>
    </w:p>
    <w:p w14:paraId="1EFEA5C2" w14:textId="77777777" w:rsidR="0039104D" w:rsidRDefault="0039104D" w:rsidP="0039104D">
      <w:pPr>
        <w:pStyle w:val="ListParagraph"/>
        <w:numPr>
          <w:ilvl w:val="0"/>
          <w:numId w:val="44"/>
        </w:numPr>
        <w:spacing w:after="160" w:line="240" w:lineRule="auto"/>
        <w:jc w:val="both"/>
        <w:rPr>
          <w:rFonts w:ascii="Times New Roman" w:hAnsi="Times New Roman"/>
          <w:lang w:val="en-US"/>
        </w:rPr>
      </w:pPr>
      <w:r>
        <w:rPr>
          <w:rFonts w:ascii="Times New Roman" w:hAnsi="Times New Roman"/>
          <w:lang w:val="en-US"/>
        </w:rPr>
        <w:t xml:space="preserve">Arms Trade Treaty (ATT): the ATT is an international treaty which came into force in 2014, to regulate international trade in conventional arms. The </w:t>
      </w:r>
      <w:proofErr w:type="gramStart"/>
      <w:r>
        <w:rPr>
          <w:rFonts w:ascii="Times New Roman" w:hAnsi="Times New Roman"/>
          <w:lang w:val="en-US"/>
        </w:rPr>
        <w:t>ATT  seeks</w:t>
      </w:r>
      <w:proofErr w:type="gramEnd"/>
      <w:r>
        <w:rPr>
          <w:rFonts w:ascii="Times New Roman" w:hAnsi="Times New Roman"/>
          <w:lang w:val="en-US"/>
        </w:rPr>
        <w:t xml:space="preserve"> to prevent and eradicate illicit trade and diversion of conventional arms by establishing international standards to govern arms transfers, including the submission of annual reports. Out of the 17 State Parties of CITAAC, 14 have ratified the ATT. </w:t>
      </w:r>
    </w:p>
    <w:p w14:paraId="2A29BF59" w14:textId="77777777" w:rsidR="0039104D" w:rsidRDefault="0039104D" w:rsidP="0039104D">
      <w:pPr>
        <w:spacing w:line="240" w:lineRule="auto"/>
        <w:contextualSpacing/>
        <w:jc w:val="both"/>
        <w:rPr>
          <w:rFonts w:ascii="Times New Roman" w:eastAsia="SimSun" w:hAnsi="Times New Roman"/>
          <w:lang w:val="en-US" w:eastAsia="es-MX"/>
        </w:rPr>
      </w:pPr>
      <w:r>
        <w:rPr>
          <w:rFonts w:ascii="Times New Roman" w:eastAsia="SimSun" w:hAnsi="Times New Roman"/>
          <w:lang w:val="en-US" w:eastAsia="es-MX"/>
        </w:rPr>
        <w:t xml:space="preserve">Representatives from these bodies will be invited to the panel to present on the status of the instruments and on the reports presented to them, and to find common strategies to collaborate and support countries. The panel would also look to other partnerships between regional conventions in other parts of the globe and the universal system as models for CITAAC to </w:t>
      </w:r>
      <w:proofErr w:type="gramStart"/>
      <w:r>
        <w:rPr>
          <w:rFonts w:ascii="Times New Roman" w:eastAsia="SimSun" w:hAnsi="Times New Roman"/>
          <w:lang w:val="en-US" w:eastAsia="es-MX"/>
        </w:rPr>
        <w:t>consider..</w:t>
      </w:r>
      <w:proofErr w:type="gramEnd"/>
      <w:r>
        <w:rPr>
          <w:rFonts w:ascii="Times New Roman" w:eastAsia="SimSun" w:hAnsi="Times New Roman"/>
          <w:lang w:val="en-US" w:eastAsia="es-MX"/>
        </w:rPr>
        <w:t xml:space="preserve"> </w:t>
      </w:r>
    </w:p>
    <w:p w14:paraId="1E9E71D5" w14:textId="77777777" w:rsidR="0039104D" w:rsidRDefault="0039104D" w:rsidP="0039104D">
      <w:pPr>
        <w:spacing w:line="240" w:lineRule="auto"/>
        <w:contextualSpacing/>
        <w:jc w:val="both"/>
        <w:rPr>
          <w:rFonts w:ascii="Times New Roman" w:eastAsia="SimSun" w:hAnsi="Times New Roman"/>
          <w:lang w:val="en-US" w:eastAsia="es-MX"/>
        </w:rPr>
      </w:pPr>
    </w:p>
    <w:p w14:paraId="3F81AA35" w14:textId="77777777" w:rsidR="0039104D" w:rsidRDefault="0039104D" w:rsidP="0039104D">
      <w:pPr>
        <w:spacing w:line="240" w:lineRule="auto"/>
        <w:contextualSpacing/>
        <w:jc w:val="both"/>
        <w:rPr>
          <w:rFonts w:ascii="Times New Roman" w:eastAsia="SimSun" w:hAnsi="Times New Roman"/>
          <w:lang w:val="en-US" w:eastAsia="es-MX"/>
        </w:rPr>
      </w:pPr>
      <w:r>
        <w:rPr>
          <w:rFonts w:ascii="Times New Roman" w:eastAsia="SimSun" w:hAnsi="Times New Roman"/>
          <w:lang w:val="en-US" w:eastAsia="es-MX"/>
        </w:rPr>
        <w:t xml:space="preserve">Each panelist will have twelve (12) minutes for their intervention, followed by twenty (20) minutes of dialogue with the representatives of the States Parties, and other participants present at the meeting. </w:t>
      </w:r>
    </w:p>
    <w:p w14:paraId="6C6B8513" w14:textId="77777777" w:rsidR="0039104D" w:rsidRDefault="0039104D" w:rsidP="0039104D">
      <w:pPr>
        <w:spacing w:line="240" w:lineRule="auto"/>
        <w:contextualSpacing/>
        <w:jc w:val="both"/>
        <w:rPr>
          <w:rFonts w:ascii="Times New Roman" w:eastAsia="SimSun" w:hAnsi="Times New Roman"/>
          <w:b/>
          <w:lang w:val="en-US" w:eastAsia="es-MX"/>
        </w:rPr>
      </w:pPr>
    </w:p>
    <w:p w14:paraId="73DD113A" w14:textId="77777777" w:rsidR="0039104D" w:rsidRDefault="0039104D" w:rsidP="0039104D">
      <w:pPr>
        <w:spacing w:after="0" w:line="240" w:lineRule="auto"/>
        <w:jc w:val="both"/>
        <w:rPr>
          <w:rFonts w:ascii="Times New Roman" w:hAnsi="Times New Roman"/>
          <w:b/>
          <w:bCs/>
          <w:lang w:val="en-US"/>
        </w:rPr>
      </w:pPr>
      <w:r>
        <w:rPr>
          <w:rFonts w:ascii="Times New Roman" w:hAnsi="Times New Roman"/>
          <w:b/>
          <w:bCs/>
          <w:lang w:val="en-US"/>
        </w:rPr>
        <w:t xml:space="preserve">THEME 2. </w:t>
      </w:r>
      <w:r>
        <w:rPr>
          <w:rFonts w:ascii="Times New Roman" w:hAnsi="Times New Roman"/>
          <w:b/>
          <w:lang w:val="en-US" w:eastAsia="ja-JP"/>
        </w:rPr>
        <w:t>Additional transparency measures and relevance of CITAAC in the Inter-American System</w:t>
      </w:r>
    </w:p>
    <w:p w14:paraId="02EACA7F" w14:textId="77777777" w:rsidR="0039104D" w:rsidRDefault="0039104D" w:rsidP="0039104D">
      <w:pPr>
        <w:spacing w:after="0" w:line="240" w:lineRule="auto"/>
        <w:jc w:val="both"/>
        <w:rPr>
          <w:rFonts w:ascii="Times New Roman" w:hAnsi="Times New Roman"/>
          <w:b/>
          <w:bCs/>
          <w:lang w:val="en-US"/>
        </w:rPr>
      </w:pPr>
    </w:p>
    <w:p w14:paraId="04671753" w14:textId="77777777" w:rsidR="0039104D" w:rsidRDefault="0039104D" w:rsidP="0039104D">
      <w:pPr>
        <w:spacing w:line="240" w:lineRule="auto"/>
        <w:contextualSpacing/>
        <w:jc w:val="both"/>
        <w:rPr>
          <w:rFonts w:ascii="Times New Roman" w:eastAsia="SimSun" w:hAnsi="Times New Roman"/>
          <w:lang w:val="en-US" w:eastAsia="es-MX"/>
        </w:rPr>
      </w:pPr>
      <w:r>
        <w:rPr>
          <w:rFonts w:ascii="Times New Roman" w:eastAsia="SimSun" w:hAnsi="Times New Roman"/>
          <w:lang w:val="en-US" w:eastAsia="es-MX"/>
        </w:rPr>
        <w:t>The second thematic panel will consider the interrelation between the CITAAC and confidence and security-building measures. In the Inter-American System, the consolidated list of Confidence and Security-Building Measures, approved by the General Assembly, includes two measures highly related to the convention:</w:t>
      </w:r>
    </w:p>
    <w:p w14:paraId="01F66C94" w14:textId="77777777" w:rsidR="0039104D" w:rsidRDefault="0039104D" w:rsidP="0039104D">
      <w:pPr>
        <w:pStyle w:val="ListParagraph"/>
        <w:numPr>
          <w:ilvl w:val="0"/>
          <w:numId w:val="44"/>
        </w:numPr>
        <w:spacing w:after="160" w:line="240" w:lineRule="auto"/>
        <w:jc w:val="both"/>
        <w:rPr>
          <w:rFonts w:ascii="Times New Roman" w:hAnsi="Times New Roman"/>
          <w:lang w:val="en-US"/>
        </w:rPr>
      </w:pPr>
      <w:r>
        <w:rPr>
          <w:rFonts w:ascii="Times New Roman" w:hAnsi="Times New Roman"/>
          <w:lang w:val="en-US"/>
        </w:rPr>
        <w:t>Measure 7: Participate in the United Nations Register of Conventional Arms, including the provision and exchange of information on the national production of conventional arms.</w:t>
      </w:r>
    </w:p>
    <w:p w14:paraId="65B00E52" w14:textId="77777777" w:rsidR="0039104D" w:rsidRDefault="0039104D" w:rsidP="0039104D">
      <w:pPr>
        <w:pStyle w:val="ListParagraph"/>
        <w:numPr>
          <w:ilvl w:val="0"/>
          <w:numId w:val="44"/>
        </w:numPr>
        <w:spacing w:after="160" w:line="240" w:lineRule="auto"/>
        <w:jc w:val="both"/>
        <w:rPr>
          <w:rFonts w:ascii="Times New Roman" w:hAnsi="Times New Roman"/>
          <w:lang w:val="en-US"/>
        </w:rPr>
      </w:pPr>
      <w:r>
        <w:rPr>
          <w:rFonts w:ascii="Times New Roman" w:hAnsi="Times New Roman"/>
          <w:lang w:val="en-US"/>
        </w:rPr>
        <w:t xml:space="preserve">Measure 22: Sign, ratify, and implement the Inter-American Convention on Transparency in Conventional Weapons (CITAAC). </w:t>
      </w:r>
    </w:p>
    <w:p w14:paraId="2E2242F3" w14:textId="77777777" w:rsidR="0039104D" w:rsidRDefault="0039104D" w:rsidP="0039104D">
      <w:pPr>
        <w:spacing w:after="0" w:line="240" w:lineRule="auto"/>
        <w:jc w:val="both"/>
        <w:rPr>
          <w:rFonts w:ascii="Times New Roman" w:eastAsia="SimSun" w:hAnsi="Times New Roman"/>
          <w:lang w:val="en-US" w:eastAsia="es-MX"/>
        </w:rPr>
      </w:pPr>
      <w:r>
        <w:rPr>
          <w:rFonts w:ascii="Times New Roman" w:eastAsia="SimSun" w:hAnsi="Times New Roman"/>
          <w:lang w:val="en-US" w:eastAsia="es-MX"/>
        </w:rPr>
        <w:t xml:space="preserve">Considering this, panelists will discuss the links of CITAAC and transparency to provide insights for the dialogue of State Parties about additional transparency measures, considering Article VIII of the Convention. </w:t>
      </w:r>
    </w:p>
    <w:p w14:paraId="736F4216" w14:textId="77777777" w:rsidR="0039104D" w:rsidRDefault="0039104D" w:rsidP="0039104D">
      <w:pPr>
        <w:spacing w:after="0" w:line="240" w:lineRule="auto"/>
        <w:jc w:val="both"/>
        <w:rPr>
          <w:rFonts w:ascii="Times New Roman" w:eastAsia="SimSun" w:hAnsi="Times New Roman"/>
          <w:lang w:val="en-US" w:eastAsia="es-MX"/>
        </w:rPr>
      </w:pPr>
    </w:p>
    <w:p w14:paraId="0E472FB8" w14:textId="77777777" w:rsidR="0039104D" w:rsidRDefault="0039104D" w:rsidP="0039104D">
      <w:pPr>
        <w:spacing w:after="0" w:line="240" w:lineRule="auto"/>
        <w:jc w:val="both"/>
        <w:rPr>
          <w:rFonts w:ascii="Times New Roman" w:eastAsia="SimSun" w:hAnsi="Times New Roman"/>
          <w:lang w:val="en-US" w:eastAsia="es-MX"/>
        </w:rPr>
      </w:pPr>
      <w:r>
        <w:rPr>
          <w:rFonts w:ascii="Times New Roman" w:eastAsia="SimSun" w:hAnsi="Times New Roman"/>
          <w:lang w:val="en-US" w:eastAsia="es-MX"/>
        </w:rPr>
        <w:t>This panel will also explore the complementarity of CITAAC and other conventions of the Inter-American System, particularly the Inter-American </w:t>
      </w:r>
      <w:r>
        <w:rPr>
          <w:rFonts w:eastAsia="SimSun"/>
          <w:lang w:val="en-US" w:eastAsia="es-MX"/>
        </w:rPr>
        <w:t>Convention</w:t>
      </w:r>
      <w:r>
        <w:rPr>
          <w:rFonts w:ascii="Times New Roman" w:eastAsia="SimSun" w:hAnsi="Times New Roman"/>
          <w:lang w:val="en-US" w:eastAsia="es-MX"/>
        </w:rPr>
        <w:t> against the Illicit Manufacturing of and Trafficking in Firearms, Ammunition, Explosives, and Other Related Materials (CIFTA).</w:t>
      </w:r>
    </w:p>
    <w:p w14:paraId="5BFE64B5" w14:textId="77777777" w:rsidR="0039104D" w:rsidRDefault="0039104D" w:rsidP="0039104D">
      <w:pPr>
        <w:spacing w:after="0" w:line="240" w:lineRule="auto"/>
        <w:jc w:val="both"/>
        <w:rPr>
          <w:rFonts w:ascii="Times New Roman" w:eastAsia="SimSun" w:hAnsi="Times New Roman"/>
          <w:lang w:val="en-US" w:eastAsia="es-MX"/>
        </w:rPr>
      </w:pPr>
    </w:p>
    <w:p w14:paraId="496A5CCE" w14:textId="77777777" w:rsidR="0039104D" w:rsidRDefault="0039104D" w:rsidP="0039104D">
      <w:pPr>
        <w:spacing w:after="0" w:line="240" w:lineRule="auto"/>
        <w:jc w:val="both"/>
        <w:rPr>
          <w:rFonts w:ascii="Times New Roman" w:hAnsi="Times New Roman"/>
          <w:lang w:val="en-US"/>
        </w:rPr>
      </w:pPr>
      <w:r>
        <w:rPr>
          <w:rFonts w:ascii="Times New Roman" w:hAnsi="Times New Roman"/>
          <w:lang w:val="en-US"/>
        </w:rPr>
        <w:t>Each panelist will have ten (10) minutes for their intervention, followed by fifteen (15) minutes of dialogue with the representatives of the States Parties present at the meeting.</w:t>
      </w:r>
    </w:p>
    <w:p w14:paraId="107717A4" w14:textId="77777777" w:rsidR="0039104D" w:rsidRDefault="0039104D" w:rsidP="0039104D">
      <w:pPr>
        <w:spacing w:after="0" w:line="240" w:lineRule="auto"/>
        <w:jc w:val="both"/>
        <w:rPr>
          <w:rFonts w:ascii="Times New Roman" w:hAnsi="Times New Roman"/>
          <w:bCs/>
          <w:lang w:val="en-US"/>
        </w:rPr>
      </w:pPr>
    </w:p>
    <w:p w14:paraId="43D2A906" w14:textId="77777777" w:rsidR="0039104D" w:rsidRDefault="0039104D" w:rsidP="0039104D">
      <w:pPr>
        <w:spacing w:after="0" w:line="240" w:lineRule="auto"/>
        <w:jc w:val="both"/>
        <w:rPr>
          <w:rFonts w:ascii="Times New Roman" w:hAnsi="Times New Roman"/>
          <w:b/>
          <w:lang w:val="en-US"/>
        </w:rPr>
      </w:pPr>
      <w:r>
        <w:rPr>
          <w:rFonts w:ascii="Times New Roman" w:hAnsi="Times New Roman"/>
          <w:b/>
          <w:lang w:val="en-US"/>
        </w:rPr>
        <w:t xml:space="preserve">THEME 3. </w:t>
      </w:r>
      <w:r>
        <w:rPr>
          <w:rFonts w:ascii="Times New Roman" w:hAnsi="Times New Roman"/>
          <w:b/>
          <w:lang w:val="en-US" w:eastAsia="ja-JP"/>
        </w:rPr>
        <w:t>Challenges and opportunities with reporting</w:t>
      </w:r>
    </w:p>
    <w:p w14:paraId="03AB18BC" w14:textId="77777777" w:rsidR="0039104D" w:rsidRDefault="0039104D" w:rsidP="0039104D">
      <w:pPr>
        <w:spacing w:after="0" w:line="240" w:lineRule="auto"/>
        <w:jc w:val="both"/>
        <w:rPr>
          <w:rFonts w:ascii="Times New Roman" w:hAnsi="Times New Roman"/>
          <w:highlight w:val="yellow"/>
          <w:lang w:val="en-US"/>
        </w:rPr>
      </w:pPr>
    </w:p>
    <w:p w14:paraId="55E097B2" w14:textId="77777777" w:rsidR="0039104D" w:rsidRDefault="0039104D" w:rsidP="0039104D">
      <w:pPr>
        <w:autoSpaceDE w:val="0"/>
        <w:autoSpaceDN w:val="0"/>
        <w:adjustRightInd w:val="0"/>
        <w:spacing w:after="0" w:line="240" w:lineRule="auto"/>
        <w:jc w:val="both"/>
        <w:rPr>
          <w:rFonts w:ascii="Times New Roman" w:eastAsia="SimSun" w:hAnsi="Times New Roman"/>
          <w:lang w:val="en-US" w:eastAsia="es-MX"/>
        </w:rPr>
      </w:pPr>
      <w:r>
        <w:rPr>
          <w:rFonts w:ascii="Times New Roman" w:eastAsia="SimSun" w:hAnsi="Times New Roman"/>
          <w:lang w:val="en-US" w:eastAsia="es-MX"/>
        </w:rPr>
        <w:t>The third panel is technical and operational in its nature and seeks to promote an open dialogue about the challenges and opportunities with the annual reports of CITAAC. As mentioned before, the level of reporting to CITAAC has decreased within time. This ongoing issue has been previously addressed in the other meetings of the State Parties, with suggestions to improve reporting:</w:t>
      </w:r>
    </w:p>
    <w:p w14:paraId="242878BC" w14:textId="77777777" w:rsidR="0039104D" w:rsidRDefault="0039104D" w:rsidP="0039104D">
      <w:pPr>
        <w:autoSpaceDE w:val="0"/>
        <w:autoSpaceDN w:val="0"/>
        <w:adjustRightInd w:val="0"/>
        <w:spacing w:after="0" w:line="240" w:lineRule="auto"/>
        <w:jc w:val="both"/>
        <w:rPr>
          <w:rFonts w:ascii="Times New Roman" w:eastAsia="SimSun" w:hAnsi="Times New Roman"/>
          <w:lang w:val="en-US" w:eastAsia="es-MX"/>
        </w:rPr>
      </w:pPr>
    </w:p>
    <w:p w14:paraId="3FAC7B72" w14:textId="77777777" w:rsidR="0039104D" w:rsidRDefault="0039104D" w:rsidP="0039104D">
      <w:pPr>
        <w:pStyle w:val="ListParagraph"/>
        <w:numPr>
          <w:ilvl w:val="0"/>
          <w:numId w:val="44"/>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Identification of National Points of Contact, responsible for the submission of the </w:t>
      </w:r>
      <w:proofErr w:type="gramStart"/>
      <w:r>
        <w:rPr>
          <w:rFonts w:ascii="Times New Roman" w:hAnsi="Times New Roman"/>
          <w:lang w:val="en-US"/>
        </w:rPr>
        <w:t>reports;</w:t>
      </w:r>
      <w:proofErr w:type="gramEnd"/>
    </w:p>
    <w:p w14:paraId="57089243" w14:textId="77777777" w:rsidR="0039104D" w:rsidRDefault="0039104D" w:rsidP="0039104D">
      <w:pPr>
        <w:pStyle w:val="ListParagraph"/>
        <w:numPr>
          <w:ilvl w:val="0"/>
          <w:numId w:val="44"/>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Development of an electronic database to facilitate the submission of the reports, and access to consolidated data on the </w:t>
      </w:r>
      <w:proofErr w:type="gramStart"/>
      <w:r>
        <w:rPr>
          <w:rFonts w:ascii="Times New Roman" w:hAnsi="Times New Roman"/>
          <w:lang w:val="en-US"/>
        </w:rPr>
        <w:t>transfers;</w:t>
      </w:r>
      <w:proofErr w:type="gramEnd"/>
    </w:p>
    <w:p w14:paraId="7EE009F9" w14:textId="77777777" w:rsidR="0039104D" w:rsidRDefault="0039104D" w:rsidP="0039104D">
      <w:pPr>
        <w:pStyle w:val="ListParagraph"/>
        <w:numPr>
          <w:ilvl w:val="0"/>
          <w:numId w:val="44"/>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Offer of socialization workshops to </w:t>
      </w:r>
      <w:proofErr w:type="gramStart"/>
      <w:r>
        <w:rPr>
          <w:rFonts w:ascii="Times New Roman" w:hAnsi="Times New Roman"/>
          <w:lang w:val="en-US"/>
        </w:rPr>
        <w:t>countries;</w:t>
      </w:r>
      <w:proofErr w:type="gramEnd"/>
    </w:p>
    <w:p w14:paraId="73EB9C66" w14:textId="77777777" w:rsidR="0039104D" w:rsidRDefault="0039104D" w:rsidP="0039104D">
      <w:pPr>
        <w:pStyle w:val="ListParagraph"/>
        <w:numPr>
          <w:ilvl w:val="0"/>
          <w:numId w:val="44"/>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Integration of reports with those of the U.N. system (</w:t>
      </w:r>
      <w:proofErr w:type="gramStart"/>
      <w:r>
        <w:rPr>
          <w:rFonts w:ascii="Times New Roman" w:hAnsi="Times New Roman"/>
          <w:lang w:val="en-US"/>
        </w:rPr>
        <w:t>e.g.</w:t>
      </w:r>
      <w:proofErr w:type="gramEnd"/>
      <w:r>
        <w:rPr>
          <w:rFonts w:ascii="Times New Roman" w:hAnsi="Times New Roman"/>
          <w:lang w:val="en-US"/>
        </w:rPr>
        <w:t xml:space="preserve"> submission of a copy of the reports of UNROCA to the OAS);</w:t>
      </w:r>
    </w:p>
    <w:p w14:paraId="30DBFA81" w14:textId="77777777" w:rsidR="0039104D" w:rsidRDefault="0039104D" w:rsidP="0039104D">
      <w:pPr>
        <w:pStyle w:val="ListParagraph"/>
        <w:numPr>
          <w:ilvl w:val="0"/>
          <w:numId w:val="44"/>
        </w:numPr>
        <w:autoSpaceDE w:val="0"/>
        <w:autoSpaceDN w:val="0"/>
        <w:adjustRightInd w:val="0"/>
        <w:spacing w:after="0" w:line="240" w:lineRule="auto"/>
        <w:jc w:val="both"/>
        <w:rPr>
          <w:rFonts w:ascii="Times New Roman" w:hAnsi="Times New Roman"/>
          <w:lang w:val="en-US"/>
        </w:rPr>
      </w:pPr>
      <w:r>
        <w:rPr>
          <w:rFonts w:ascii="Times New Roman" w:hAnsi="Times New Roman"/>
          <w:lang w:val="en-US"/>
        </w:rPr>
        <w:t xml:space="preserve">Submission of nil reports. </w:t>
      </w:r>
    </w:p>
    <w:p w14:paraId="0225EDAD" w14:textId="77777777" w:rsidR="0039104D" w:rsidRDefault="0039104D" w:rsidP="0039104D">
      <w:pPr>
        <w:autoSpaceDE w:val="0"/>
        <w:autoSpaceDN w:val="0"/>
        <w:adjustRightInd w:val="0"/>
        <w:spacing w:after="0" w:line="240" w:lineRule="auto"/>
        <w:jc w:val="both"/>
        <w:rPr>
          <w:lang w:val="en-US"/>
        </w:rPr>
      </w:pPr>
    </w:p>
    <w:p w14:paraId="041BABEA" w14:textId="77777777" w:rsidR="0039104D" w:rsidRDefault="0039104D" w:rsidP="0039104D">
      <w:pPr>
        <w:autoSpaceDE w:val="0"/>
        <w:autoSpaceDN w:val="0"/>
        <w:adjustRightInd w:val="0"/>
        <w:spacing w:after="0" w:line="240" w:lineRule="auto"/>
        <w:jc w:val="both"/>
        <w:rPr>
          <w:rFonts w:ascii="Times New Roman" w:eastAsia="SimSun" w:hAnsi="Times New Roman"/>
          <w:lang w:val="en-US" w:eastAsia="es-MX"/>
        </w:rPr>
      </w:pPr>
      <w:r>
        <w:rPr>
          <w:rFonts w:ascii="Times New Roman" w:eastAsia="SimSun" w:hAnsi="Times New Roman"/>
          <w:lang w:val="en-US" w:eastAsia="es-MX"/>
        </w:rPr>
        <w:t xml:space="preserve">To provide insights for the dialogue of State Parties, the panel will have an initial presentation of the General Secretariat of the OAS on the history of the reports, including a comparative analysis with the other existing reports on the matter. It will also have state experts presenting on good practices of how they have been able to comply with the reports. </w:t>
      </w:r>
    </w:p>
    <w:p w14:paraId="349EEDFA" w14:textId="77777777" w:rsidR="0039104D" w:rsidRDefault="0039104D" w:rsidP="0039104D">
      <w:pPr>
        <w:autoSpaceDE w:val="0"/>
        <w:autoSpaceDN w:val="0"/>
        <w:adjustRightInd w:val="0"/>
        <w:spacing w:after="0" w:line="240" w:lineRule="auto"/>
        <w:jc w:val="both"/>
        <w:rPr>
          <w:rFonts w:ascii="Times New Roman" w:eastAsia="SimSun" w:hAnsi="Times New Roman"/>
          <w:lang w:val="en-US" w:eastAsia="es-MX"/>
        </w:rPr>
      </w:pPr>
    </w:p>
    <w:p w14:paraId="501C629B" w14:textId="77777777" w:rsidR="0039104D" w:rsidRDefault="0039104D" w:rsidP="0039104D">
      <w:pPr>
        <w:spacing w:after="0" w:line="240" w:lineRule="auto"/>
        <w:jc w:val="both"/>
        <w:rPr>
          <w:rFonts w:ascii="Times New Roman" w:eastAsia="SimSun" w:hAnsi="Times New Roman"/>
          <w:lang w:val="en-US" w:eastAsia="es-MX"/>
        </w:rPr>
      </w:pPr>
      <w:r>
        <w:rPr>
          <w:rFonts w:ascii="Times New Roman" w:eastAsia="SimSun" w:hAnsi="Times New Roman"/>
          <w:lang w:val="en-US" w:eastAsia="es-MX"/>
        </w:rPr>
        <w:t xml:space="preserve">Each panelist will have ten (10) minutes for their intervention, followed by twenty (20) minutes of dialogue with the representatives of the States Parties present at the meeting to identify common solutions and practical strategies that could be supported by the Technical Secretariat to encourage compliance with the reports. </w:t>
      </w:r>
    </w:p>
    <w:p w14:paraId="6BFFBA3F" w14:textId="77777777" w:rsidR="0039104D" w:rsidRDefault="0039104D" w:rsidP="0039104D">
      <w:pPr>
        <w:spacing w:after="0" w:line="240" w:lineRule="auto"/>
        <w:jc w:val="both"/>
        <w:rPr>
          <w:rFonts w:ascii="Times New Roman" w:eastAsia="SimSun" w:hAnsi="Times New Roman"/>
          <w:lang w:val="en-US" w:eastAsia="es-MX"/>
        </w:rPr>
      </w:pPr>
    </w:p>
    <w:p w14:paraId="4C98F4A1" w14:textId="28EC22C0" w:rsidR="0039104D" w:rsidRDefault="0039104D" w:rsidP="0039104D">
      <w:pPr>
        <w:spacing w:after="0" w:line="240" w:lineRule="auto"/>
        <w:jc w:val="both"/>
        <w:rPr>
          <w:rFonts w:ascii="Times New Roman" w:eastAsia="SimSun" w:hAnsi="Times New Roman"/>
          <w:lang w:val="en-US" w:eastAsia="es-MX"/>
        </w:rPr>
      </w:pPr>
      <w:r>
        <w:rPr>
          <w:noProof/>
        </w:rPr>
        <mc:AlternateContent>
          <mc:Choice Requires="wps">
            <w:drawing>
              <wp:anchor distT="0" distB="0" distL="114300" distR="114300" simplePos="0" relativeHeight="251659264" behindDoc="0" locked="1" layoutInCell="1" allowOverlap="1" wp14:anchorId="3E82B7CA" wp14:editId="48F638C1">
                <wp:simplePos x="0" y="0"/>
                <wp:positionH relativeFrom="column">
                  <wp:posOffset>60960</wp:posOffset>
                </wp:positionH>
                <wp:positionV relativeFrom="page">
                  <wp:posOffset>9296400</wp:posOffset>
                </wp:positionV>
                <wp:extent cx="3383280" cy="228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7D18C83" w14:textId="77777777" w:rsidR="0039104D" w:rsidRDefault="0039104D" w:rsidP="003910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DPASP00133E01</w:t>
                            </w:r>
                            <w:r>
                              <w:rPr>
                                <w:rFonts w:ascii="Times New Roman" w:hAnsi="Times New Roman"/>
                                <w:sz w:val="18"/>
                              </w:rPr>
                              <w:fldChar w:fldCharType="end"/>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3E82B7CA" id="_x0000_t202" coordsize="21600,21600" o:spt="202" path="m,l,21600r21600,l21600,xe">
                <v:stroke joinstyle="miter"/>
                <v:path gradientshapeok="t" o:connecttype="rect"/>
              </v:shapetype>
              <v:shape id="Text Box 2" o:spid="_x0000_s1026" type="#_x0000_t202" style="position:absolute;left:0;text-align:left;margin-left:4.8pt;margin-top:732pt;width:266.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" filled="f" stroked="f">
                <v:stroke joinstyle="round"/>
                <v:textbox>
                  <w:txbxContent>
                    <w:p w14:paraId="37D18C83" w14:textId="77777777" w:rsidR="0039104D" w:rsidRDefault="0039104D" w:rsidP="0039104D">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DPASP00133E01</w:t>
                      </w:r>
                      <w:r>
                        <w:rPr>
                          <w:rFonts w:ascii="Times New Roman" w:hAnsi="Times New Roman"/>
                          <w:sz w:val="18"/>
                        </w:rPr>
                        <w:fldChar w:fldCharType="end"/>
                      </w:r>
                    </w:p>
                  </w:txbxContent>
                </v:textbox>
                <w10:wrap anchory="page"/>
                <w10:anchorlock/>
              </v:shape>
            </w:pict>
          </mc:Fallback>
        </mc:AlternateContent>
      </w:r>
    </w:p>
    <w:p w14:paraId="22ED9424" w14:textId="77777777" w:rsidR="0039104D" w:rsidRDefault="0039104D" w:rsidP="0039104D">
      <w:pPr>
        <w:spacing w:after="0" w:line="240" w:lineRule="auto"/>
        <w:jc w:val="both"/>
        <w:rPr>
          <w:rFonts w:ascii="Times New Roman" w:eastAsia="SimSun" w:hAnsi="Times New Roman"/>
          <w:lang w:val="en-US" w:eastAsia="es-MX"/>
        </w:rPr>
      </w:pPr>
    </w:p>
    <w:p w14:paraId="0F58DFC7" w14:textId="77777777" w:rsidR="0039104D" w:rsidRDefault="0039104D" w:rsidP="0039104D">
      <w:pPr>
        <w:spacing w:line="240" w:lineRule="auto"/>
        <w:rPr>
          <w:rFonts w:ascii="Times New Roman" w:eastAsia="SimSun" w:hAnsi="Times New Roman"/>
          <w:lang w:val="en-US" w:eastAsia="es-MX"/>
        </w:rPr>
      </w:pPr>
    </w:p>
    <w:p w14:paraId="5C640326" w14:textId="61DB8B7A" w:rsidR="008174E6" w:rsidRPr="0039104D" w:rsidRDefault="008174E6" w:rsidP="0039104D">
      <w:pPr>
        <w:rPr>
          <w:lang w:val="en-US"/>
        </w:rPr>
      </w:pPr>
    </w:p>
    <w:sectPr w:rsidR="008174E6" w:rsidRPr="0039104D" w:rsidSect="00C51618">
      <w:headerReference w:type="default" r:id="rId11"/>
      <w:pgSz w:w="12240" w:h="15840" w:code="1"/>
      <w:pgMar w:top="2160" w:right="1570" w:bottom="1296" w:left="1699"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BDB22" w14:textId="77777777" w:rsidR="00807677" w:rsidRDefault="00807677" w:rsidP="006070A3">
      <w:pPr>
        <w:spacing w:after="0" w:line="240" w:lineRule="auto"/>
      </w:pPr>
      <w:r>
        <w:separator/>
      </w:r>
    </w:p>
  </w:endnote>
  <w:endnote w:type="continuationSeparator" w:id="0">
    <w:p w14:paraId="1A3CD902" w14:textId="77777777" w:rsidR="00807677" w:rsidRDefault="00807677" w:rsidP="00607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OpenSans">
    <w:charset w:val="00"/>
    <w:family w:val="auto"/>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123A2" w14:textId="77777777" w:rsidR="00807677" w:rsidRDefault="00807677" w:rsidP="006070A3">
      <w:pPr>
        <w:spacing w:after="0" w:line="240" w:lineRule="auto"/>
      </w:pPr>
      <w:r>
        <w:separator/>
      </w:r>
    </w:p>
  </w:footnote>
  <w:footnote w:type="continuationSeparator" w:id="0">
    <w:p w14:paraId="30337B70" w14:textId="77777777" w:rsidR="00807677" w:rsidRDefault="00807677" w:rsidP="006070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FCBF6" w14:textId="77777777" w:rsidR="00574BC8" w:rsidRPr="00AC4321" w:rsidRDefault="00574BC8">
    <w:pPr>
      <w:pStyle w:val="Header"/>
      <w:jc w:val="center"/>
      <w:rPr>
        <w:rFonts w:ascii="Times New Roman" w:hAnsi="Times New Roman"/>
      </w:rPr>
    </w:pPr>
    <w:r>
      <w:rPr>
        <w:rFonts w:ascii="Times New Roman" w:hAnsi="Times New Roman"/>
      </w:rPr>
      <w:t xml:space="preserve">- </w:t>
    </w:r>
    <w:r w:rsidRPr="00AC4321">
      <w:rPr>
        <w:rFonts w:ascii="Times New Roman" w:hAnsi="Times New Roman"/>
      </w:rPr>
      <w:fldChar w:fldCharType="begin"/>
    </w:r>
    <w:r w:rsidRPr="00AC4321">
      <w:rPr>
        <w:rFonts w:ascii="Times New Roman" w:hAnsi="Times New Roman"/>
      </w:rPr>
      <w:instrText xml:space="preserve"> PAGE   \* MERGEFORMAT </w:instrText>
    </w:r>
    <w:r w:rsidRPr="00AC4321">
      <w:rPr>
        <w:rFonts w:ascii="Times New Roman" w:hAnsi="Times New Roman"/>
      </w:rPr>
      <w:fldChar w:fldCharType="separate"/>
    </w:r>
    <w:r w:rsidR="0044271B">
      <w:rPr>
        <w:rFonts w:ascii="Times New Roman" w:hAnsi="Times New Roman"/>
        <w:noProof/>
      </w:rPr>
      <w:t>2</w:t>
    </w:r>
    <w:r w:rsidRPr="00AC4321">
      <w:rPr>
        <w:rFonts w:ascii="Times New Roman" w:hAnsi="Times New Roman"/>
        <w:noProof/>
      </w:rPr>
      <w:fldChar w:fldCharType="end"/>
    </w:r>
    <w:r>
      <w:rPr>
        <w:rFonts w:ascii="Times New Roman" w:hAnsi="Times New Roman"/>
        <w:noProof/>
      </w:rPr>
      <w:t xml:space="preserve"> -</w:t>
    </w:r>
  </w:p>
  <w:p w14:paraId="46F080FF" w14:textId="77777777" w:rsidR="00574BC8" w:rsidRDefault="00574B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3181F9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452A48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618D03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624576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34ED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2EC7F6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114FE1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08011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2A44F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2AE8CA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942A3B"/>
    <w:multiLevelType w:val="hybridMultilevel"/>
    <w:tmpl w:val="E22426C2"/>
    <w:lvl w:ilvl="0" w:tplc="FFFFFFFF">
      <w:start w:val="1"/>
      <w:numFmt w:val="upperRoman"/>
      <w:lvlText w:val="%1."/>
      <w:lvlJc w:val="left"/>
      <w:pPr>
        <w:ind w:left="1080" w:hanging="720"/>
      </w:pPr>
      <w:rPr>
        <w:rFonts w:cs="Times New Roman" w:hint="default"/>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072B3033"/>
    <w:multiLevelType w:val="hybridMultilevel"/>
    <w:tmpl w:val="15E0A552"/>
    <w:lvl w:ilvl="0" w:tplc="1968F99C">
      <w:start w:val="1"/>
      <w:numFmt w:val="bullet"/>
      <w:lvlText w:val="-"/>
      <w:lvlJc w:val="left"/>
      <w:pPr>
        <w:ind w:left="1440" w:hanging="360"/>
      </w:pPr>
      <w:rPr>
        <w:rFonts w:ascii="Times New Roman" w:eastAsia="Times New Roman" w:hAnsi="Times New Roman" w:cs="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0B3D5578"/>
    <w:multiLevelType w:val="hybridMultilevel"/>
    <w:tmpl w:val="DD0E0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5B18A0"/>
    <w:multiLevelType w:val="hybridMultilevel"/>
    <w:tmpl w:val="602C0EE2"/>
    <w:lvl w:ilvl="0" w:tplc="3546451A">
      <w:start w:val="3"/>
      <w:numFmt w:val="bullet"/>
      <w:lvlText w:val="-"/>
      <w:lvlJc w:val="left"/>
      <w:pPr>
        <w:ind w:left="1080" w:hanging="360"/>
      </w:pPr>
      <w:rPr>
        <w:rFonts w:ascii="Times New Roman" w:eastAsia="Batang" w:hAnsi="Times New Roman" w:cs="Times New Roman"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4" w15:restartNumberingAfterBreak="0">
    <w:nsid w:val="0F393E29"/>
    <w:multiLevelType w:val="hybridMultilevel"/>
    <w:tmpl w:val="5024ECFC"/>
    <w:lvl w:ilvl="0" w:tplc="04090001">
      <w:start w:val="1"/>
      <w:numFmt w:val="bullet"/>
      <w:lvlText w:val=""/>
      <w:lvlJc w:val="left"/>
      <w:pPr>
        <w:ind w:left="720" w:hanging="360"/>
      </w:pPr>
      <w:rPr>
        <w:rFonts w:ascii="Symbol" w:hAnsi="Symbol" w:hint="default"/>
      </w:rPr>
    </w:lvl>
    <w:lvl w:ilvl="1" w:tplc="540A0003">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15" w15:restartNumberingAfterBreak="0">
    <w:nsid w:val="15D12203"/>
    <w:multiLevelType w:val="hybridMultilevel"/>
    <w:tmpl w:val="D772DCF0"/>
    <w:lvl w:ilvl="0" w:tplc="74E60E44">
      <w:start w:val="1"/>
      <w:numFmt w:val="decimal"/>
      <w:lvlText w:val="%1."/>
      <w:lvlJc w:val="left"/>
      <w:pPr>
        <w:ind w:left="720" w:hanging="360"/>
      </w:pPr>
      <w:rPr>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958680A"/>
    <w:multiLevelType w:val="hybridMultilevel"/>
    <w:tmpl w:val="D52C9ABC"/>
    <w:lvl w:ilvl="0" w:tplc="0409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1D2429F6"/>
    <w:multiLevelType w:val="hybridMultilevel"/>
    <w:tmpl w:val="00EA70F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8" w15:restartNumberingAfterBreak="0">
    <w:nsid w:val="237D3911"/>
    <w:multiLevelType w:val="hybridMultilevel"/>
    <w:tmpl w:val="F6640930"/>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2ABA4AA2"/>
    <w:multiLevelType w:val="hybridMultilevel"/>
    <w:tmpl w:val="E5E416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CD80EFC"/>
    <w:multiLevelType w:val="hybridMultilevel"/>
    <w:tmpl w:val="331ACF86"/>
    <w:lvl w:ilvl="0" w:tplc="FFFFFFFF">
      <w:start w:val="1"/>
      <w:numFmt w:val="decimal"/>
      <w:lvlText w:val="%1."/>
      <w:lvlJc w:val="left"/>
      <w:pPr>
        <w:tabs>
          <w:tab w:val="num" w:pos="735"/>
        </w:tabs>
        <w:ind w:left="735" w:hanging="37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15:restartNumberingAfterBreak="0">
    <w:nsid w:val="2ECC0363"/>
    <w:multiLevelType w:val="multilevel"/>
    <w:tmpl w:val="38F0B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49A261E"/>
    <w:multiLevelType w:val="hybridMultilevel"/>
    <w:tmpl w:val="90268A04"/>
    <w:lvl w:ilvl="0" w:tplc="153C1310">
      <w:start w:val="3"/>
      <w:numFmt w:val="bullet"/>
      <w:lvlText w:val="-"/>
      <w:lvlJc w:val="left"/>
      <w:pPr>
        <w:ind w:left="1068" w:hanging="360"/>
      </w:pPr>
      <w:rPr>
        <w:rFonts w:ascii="Times New Roman" w:eastAsia="Times New Roman" w:hAnsi="Times New Roman" w:cs="Times New Roman"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3" w15:restartNumberingAfterBreak="0">
    <w:nsid w:val="36F337CE"/>
    <w:multiLevelType w:val="multilevel"/>
    <w:tmpl w:val="47004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D4213E"/>
    <w:multiLevelType w:val="hybridMultilevel"/>
    <w:tmpl w:val="52224022"/>
    <w:lvl w:ilvl="0" w:tplc="6B7E491E">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EC3A82"/>
    <w:multiLevelType w:val="hybridMultilevel"/>
    <w:tmpl w:val="BEEAC3E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6" w15:restartNumberingAfterBreak="0">
    <w:nsid w:val="45477235"/>
    <w:multiLevelType w:val="hybridMultilevel"/>
    <w:tmpl w:val="7800260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7" w15:restartNumberingAfterBreak="0">
    <w:nsid w:val="4B0D6B56"/>
    <w:multiLevelType w:val="hybridMultilevel"/>
    <w:tmpl w:val="670CCE0A"/>
    <w:lvl w:ilvl="0" w:tplc="FFFFFFFF">
      <w:start w:val="1"/>
      <w:numFmt w:val="decimal"/>
      <w:lvlText w:val="%1."/>
      <w:lvlJc w:val="left"/>
      <w:pPr>
        <w:ind w:left="720" w:hanging="360"/>
      </w:pPr>
      <w:rPr>
        <w:rFonts w:cs="Times New Roman"/>
        <w:b w:val="0"/>
        <w:bCs w:val="0"/>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28" w15:restartNumberingAfterBreak="0">
    <w:nsid w:val="4C2A216F"/>
    <w:multiLevelType w:val="hybridMultilevel"/>
    <w:tmpl w:val="75E8E6BC"/>
    <w:lvl w:ilvl="0" w:tplc="540A000F">
      <w:start w:val="1"/>
      <w:numFmt w:val="decimal"/>
      <w:lvlText w:val="%1."/>
      <w:lvlJc w:val="left"/>
      <w:pPr>
        <w:ind w:left="720" w:hanging="36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29" w15:restartNumberingAfterBreak="0">
    <w:nsid w:val="578A0328"/>
    <w:multiLevelType w:val="hybridMultilevel"/>
    <w:tmpl w:val="8730BC9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3341BD4"/>
    <w:multiLevelType w:val="hybridMultilevel"/>
    <w:tmpl w:val="94945EAC"/>
    <w:lvl w:ilvl="0" w:tplc="595C71B8">
      <w:numFmt w:val="bullet"/>
      <w:lvlText w:val="-"/>
      <w:lvlJc w:val="left"/>
      <w:pPr>
        <w:ind w:left="720" w:hanging="360"/>
      </w:pPr>
      <w:rPr>
        <w:rFonts w:ascii="Century Gothic" w:eastAsia="Times New Roman" w:hAnsi="Century Gothic" w:cs="Open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B93739"/>
    <w:multiLevelType w:val="hybridMultilevel"/>
    <w:tmpl w:val="E9D8A7A2"/>
    <w:lvl w:ilvl="0" w:tplc="B05AF858">
      <w:start w:val="1"/>
      <w:numFmt w:val="upperRoman"/>
      <w:lvlText w:val="%1."/>
      <w:lvlJc w:val="left"/>
      <w:pPr>
        <w:ind w:left="1080" w:hanging="720"/>
      </w:pPr>
      <w:rPr>
        <w:rFonts w:hint="default"/>
      </w:rPr>
    </w:lvl>
    <w:lvl w:ilvl="1" w:tplc="540A0019" w:tentative="1">
      <w:start w:val="1"/>
      <w:numFmt w:val="lowerLetter"/>
      <w:lvlText w:val="%2."/>
      <w:lvlJc w:val="left"/>
      <w:pPr>
        <w:ind w:left="1440" w:hanging="360"/>
      </w:pPr>
    </w:lvl>
    <w:lvl w:ilvl="2" w:tplc="540A001B" w:tentative="1">
      <w:start w:val="1"/>
      <w:numFmt w:val="lowerRoman"/>
      <w:lvlText w:val="%3."/>
      <w:lvlJc w:val="right"/>
      <w:pPr>
        <w:ind w:left="2160" w:hanging="180"/>
      </w:pPr>
    </w:lvl>
    <w:lvl w:ilvl="3" w:tplc="540A000F" w:tentative="1">
      <w:start w:val="1"/>
      <w:numFmt w:val="decimal"/>
      <w:lvlText w:val="%4."/>
      <w:lvlJc w:val="left"/>
      <w:pPr>
        <w:ind w:left="2880" w:hanging="360"/>
      </w:pPr>
    </w:lvl>
    <w:lvl w:ilvl="4" w:tplc="540A0019" w:tentative="1">
      <w:start w:val="1"/>
      <w:numFmt w:val="lowerLetter"/>
      <w:lvlText w:val="%5."/>
      <w:lvlJc w:val="left"/>
      <w:pPr>
        <w:ind w:left="3600" w:hanging="360"/>
      </w:pPr>
    </w:lvl>
    <w:lvl w:ilvl="5" w:tplc="540A001B" w:tentative="1">
      <w:start w:val="1"/>
      <w:numFmt w:val="lowerRoman"/>
      <w:lvlText w:val="%6."/>
      <w:lvlJc w:val="right"/>
      <w:pPr>
        <w:ind w:left="4320" w:hanging="180"/>
      </w:pPr>
    </w:lvl>
    <w:lvl w:ilvl="6" w:tplc="540A000F" w:tentative="1">
      <w:start w:val="1"/>
      <w:numFmt w:val="decimal"/>
      <w:lvlText w:val="%7."/>
      <w:lvlJc w:val="left"/>
      <w:pPr>
        <w:ind w:left="5040" w:hanging="360"/>
      </w:pPr>
    </w:lvl>
    <w:lvl w:ilvl="7" w:tplc="540A0019" w:tentative="1">
      <w:start w:val="1"/>
      <w:numFmt w:val="lowerLetter"/>
      <w:lvlText w:val="%8."/>
      <w:lvlJc w:val="left"/>
      <w:pPr>
        <w:ind w:left="5760" w:hanging="360"/>
      </w:pPr>
    </w:lvl>
    <w:lvl w:ilvl="8" w:tplc="540A001B" w:tentative="1">
      <w:start w:val="1"/>
      <w:numFmt w:val="lowerRoman"/>
      <w:lvlText w:val="%9."/>
      <w:lvlJc w:val="right"/>
      <w:pPr>
        <w:ind w:left="6480" w:hanging="180"/>
      </w:pPr>
    </w:lvl>
  </w:abstractNum>
  <w:abstractNum w:abstractNumId="32" w15:restartNumberingAfterBreak="0">
    <w:nsid w:val="76A31738"/>
    <w:multiLevelType w:val="hybridMultilevel"/>
    <w:tmpl w:val="064E47AE"/>
    <w:lvl w:ilvl="0" w:tplc="595C71B8">
      <w:numFmt w:val="bullet"/>
      <w:lvlText w:val="-"/>
      <w:lvlJc w:val="left"/>
      <w:pPr>
        <w:ind w:left="720" w:hanging="360"/>
      </w:pPr>
      <w:rPr>
        <w:rFonts w:ascii="Century Gothic" w:eastAsia="Times New Roman" w:hAnsi="Century Gothic" w:cs="OpenSan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8CE5A8F"/>
    <w:multiLevelType w:val="hybridMultilevel"/>
    <w:tmpl w:val="D10687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95D36CE"/>
    <w:multiLevelType w:val="hybridMultilevel"/>
    <w:tmpl w:val="459CE0E6"/>
    <w:lvl w:ilvl="0" w:tplc="3AFA09E8">
      <w:start w:val="1"/>
      <w:numFmt w:val="lowerRoman"/>
      <w:lvlText w:val="(%1)"/>
      <w:lvlJc w:val="left"/>
      <w:pPr>
        <w:ind w:left="2136" w:hanging="720"/>
      </w:pPr>
      <w:rPr>
        <w:rFonts w:hint="default"/>
      </w:rPr>
    </w:lvl>
    <w:lvl w:ilvl="1" w:tplc="04090019" w:tentative="1">
      <w:start w:val="1"/>
      <w:numFmt w:val="lowerLetter"/>
      <w:lvlText w:val="%2."/>
      <w:lvlJc w:val="left"/>
      <w:pPr>
        <w:ind w:left="2496" w:hanging="360"/>
      </w:pPr>
    </w:lvl>
    <w:lvl w:ilvl="2" w:tplc="0409001B" w:tentative="1">
      <w:start w:val="1"/>
      <w:numFmt w:val="lowerRoman"/>
      <w:lvlText w:val="%3."/>
      <w:lvlJc w:val="right"/>
      <w:pPr>
        <w:ind w:left="3216" w:hanging="180"/>
      </w:pPr>
    </w:lvl>
    <w:lvl w:ilvl="3" w:tplc="0409000F" w:tentative="1">
      <w:start w:val="1"/>
      <w:numFmt w:val="decimal"/>
      <w:lvlText w:val="%4."/>
      <w:lvlJc w:val="left"/>
      <w:pPr>
        <w:ind w:left="3936" w:hanging="360"/>
      </w:pPr>
    </w:lvl>
    <w:lvl w:ilvl="4" w:tplc="04090019" w:tentative="1">
      <w:start w:val="1"/>
      <w:numFmt w:val="lowerLetter"/>
      <w:lvlText w:val="%5."/>
      <w:lvlJc w:val="left"/>
      <w:pPr>
        <w:ind w:left="4656" w:hanging="360"/>
      </w:pPr>
    </w:lvl>
    <w:lvl w:ilvl="5" w:tplc="0409001B" w:tentative="1">
      <w:start w:val="1"/>
      <w:numFmt w:val="lowerRoman"/>
      <w:lvlText w:val="%6."/>
      <w:lvlJc w:val="right"/>
      <w:pPr>
        <w:ind w:left="5376" w:hanging="180"/>
      </w:pPr>
    </w:lvl>
    <w:lvl w:ilvl="6" w:tplc="0409000F" w:tentative="1">
      <w:start w:val="1"/>
      <w:numFmt w:val="decimal"/>
      <w:lvlText w:val="%7."/>
      <w:lvlJc w:val="left"/>
      <w:pPr>
        <w:ind w:left="6096" w:hanging="360"/>
      </w:pPr>
    </w:lvl>
    <w:lvl w:ilvl="7" w:tplc="04090019" w:tentative="1">
      <w:start w:val="1"/>
      <w:numFmt w:val="lowerLetter"/>
      <w:lvlText w:val="%8."/>
      <w:lvlJc w:val="left"/>
      <w:pPr>
        <w:ind w:left="6816" w:hanging="360"/>
      </w:pPr>
    </w:lvl>
    <w:lvl w:ilvl="8" w:tplc="0409001B" w:tentative="1">
      <w:start w:val="1"/>
      <w:numFmt w:val="lowerRoman"/>
      <w:lvlText w:val="%9."/>
      <w:lvlJc w:val="right"/>
      <w:pPr>
        <w:ind w:left="7536" w:hanging="180"/>
      </w:pPr>
    </w:lvl>
  </w:abstractNum>
  <w:abstractNum w:abstractNumId="35" w15:restartNumberingAfterBreak="0">
    <w:nsid w:val="7BC61B26"/>
    <w:multiLevelType w:val="multilevel"/>
    <w:tmpl w:val="600E7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C322F1"/>
    <w:multiLevelType w:val="hybridMultilevel"/>
    <w:tmpl w:val="089A5426"/>
    <w:lvl w:ilvl="0" w:tplc="97EEEBF8">
      <w:start w:val="1"/>
      <w:numFmt w:val="lowerRoman"/>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31"/>
  </w:num>
  <w:num w:numId="3">
    <w:abstractNumId w:val="23"/>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24"/>
  </w:num>
  <w:num w:numId="7">
    <w:abstractNumId w:val="17"/>
  </w:num>
  <w:num w:numId="8">
    <w:abstractNumId w:val="26"/>
  </w:num>
  <w:num w:numId="9">
    <w:abstractNumId w:val="12"/>
  </w:num>
  <w:num w:numId="10">
    <w:abstractNumId w:val="21"/>
  </w:num>
  <w:num w:numId="11">
    <w:abstractNumId w:val="35"/>
  </w:num>
  <w:num w:numId="12">
    <w:abstractNumId w:val="28"/>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 w:numId="26">
    <w:abstractNumId w:val="29"/>
  </w:num>
  <w:num w:numId="27">
    <w:abstractNumId w:val="32"/>
  </w:num>
  <w:num w:numId="28">
    <w:abstractNumId w:val="36"/>
  </w:num>
  <w:num w:numId="29">
    <w:abstractNumId w:val="30"/>
  </w:num>
  <w:num w:numId="30">
    <w:abstractNumId w:val="34"/>
  </w:num>
  <w:num w:numId="3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num>
  <w:num w:numId="33">
    <w:abstractNumId w:val="30"/>
  </w:num>
  <w:num w:numId="3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18"/>
  </w:num>
  <w:num w:numId="37">
    <w:abstractNumId w:val="16"/>
  </w:num>
  <w:num w:numId="38">
    <w:abstractNumId w:val="13"/>
  </w:num>
  <w:num w:numId="39">
    <w:abstractNumId w:val="22"/>
  </w:num>
  <w:num w:numId="40">
    <w:abstractNumId w:val="19"/>
  </w:num>
  <w:num w:numId="41">
    <w:abstractNumId w:val="11"/>
  </w:num>
  <w:num w:numId="42">
    <w:abstractNumId w:val="22"/>
    <w:lvlOverride w:ilvl="0"/>
    <w:lvlOverride w:ilvl="1"/>
    <w:lvlOverride w:ilvl="2"/>
    <w:lvlOverride w:ilvl="3"/>
    <w:lvlOverride w:ilvl="4"/>
    <w:lvlOverride w:ilvl="5"/>
    <w:lvlOverride w:ilvl="6"/>
    <w:lvlOverride w:ilvl="7"/>
    <w:lvlOverride w:ilvl="8"/>
  </w:num>
  <w:num w:numId="43">
    <w:abstractNumId w:val="13"/>
    <w:lvlOverride w:ilvl="0"/>
    <w:lvlOverride w:ilvl="1"/>
    <w:lvlOverride w:ilvl="2"/>
    <w:lvlOverride w:ilvl="3"/>
    <w:lvlOverride w:ilvl="4"/>
    <w:lvlOverride w:ilvl="5"/>
    <w:lvlOverride w:ilvl="6"/>
    <w:lvlOverride w:ilvl="7"/>
    <w:lvlOverride w:ilvl="8"/>
  </w:num>
  <w:num w:numId="44">
    <w:abstractNumId w:val="3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OwtLQ0MDYBEkCgpKMUnFpcnJmfB1JgUgsAuo7gSSwAAAA="/>
  </w:docVars>
  <w:rsids>
    <w:rsidRoot w:val="00711AA0"/>
    <w:rsid w:val="00001C8D"/>
    <w:rsid w:val="0000254A"/>
    <w:rsid w:val="000221C2"/>
    <w:rsid w:val="000244EF"/>
    <w:rsid w:val="00025357"/>
    <w:rsid w:val="00025F7B"/>
    <w:rsid w:val="000306CB"/>
    <w:rsid w:val="00031CC3"/>
    <w:rsid w:val="000325B4"/>
    <w:rsid w:val="0003324D"/>
    <w:rsid w:val="00042B7E"/>
    <w:rsid w:val="00056EE7"/>
    <w:rsid w:val="000579C2"/>
    <w:rsid w:val="0007600A"/>
    <w:rsid w:val="00085219"/>
    <w:rsid w:val="00090DF2"/>
    <w:rsid w:val="00095C17"/>
    <w:rsid w:val="000A1810"/>
    <w:rsid w:val="000A29E5"/>
    <w:rsid w:val="000A3436"/>
    <w:rsid w:val="000A6122"/>
    <w:rsid w:val="000A64AA"/>
    <w:rsid w:val="000A72D1"/>
    <w:rsid w:val="000B0303"/>
    <w:rsid w:val="000C1C8C"/>
    <w:rsid w:val="000C2CE2"/>
    <w:rsid w:val="000C41A9"/>
    <w:rsid w:val="000C72FD"/>
    <w:rsid w:val="000D065D"/>
    <w:rsid w:val="000D7367"/>
    <w:rsid w:val="000E15D6"/>
    <w:rsid w:val="000E1EEF"/>
    <w:rsid w:val="000F3748"/>
    <w:rsid w:val="00100773"/>
    <w:rsid w:val="00102ABF"/>
    <w:rsid w:val="00112D79"/>
    <w:rsid w:val="001357F9"/>
    <w:rsid w:val="00137F88"/>
    <w:rsid w:val="00144C6A"/>
    <w:rsid w:val="00152219"/>
    <w:rsid w:val="00156171"/>
    <w:rsid w:val="00156B6F"/>
    <w:rsid w:val="001661C6"/>
    <w:rsid w:val="00170A4F"/>
    <w:rsid w:val="001834E8"/>
    <w:rsid w:val="00192C2A"/>
    <w:rsid w:val="001A1C2D"/>
    <w:rsid w:val="001A317B"/>
    <w:rsid w:val="001A49A3"/>
    <w:rsid w:val="001A63E1"/>
    <w:rsid w:val="001B38EE"/>
    <w:rsid w:val="001D64F3"/>
    <w:rsid w:val="001F343E"/>
    <w:rsid w:val="00214582"/>
    <w:rsid w:val="002162E3"/>
    <w:rsid w:val="00216E07"/>
    <w:rsid w:val="00223878"/>
    <w:rsid w:val="00224C75"/>
    <w:rsid w:val="002329F8"/>
    <w:rsid w:val="002330FB"/>
    <w:rsid w:val="00245875"/>
    <w:rsid w:val="00245FCA"/>
    <w:rsid w:val="00247512"/>
    <w:rsid w:val="00247C4B"/>
    <w:rsid w:val="0025364F"/>
    <w:rsid w:val="00256109"/>
    <w:rsid w:val="002572C7"/>
    <w:rsid w:val="002615FE"/>
    <w:rsid w:val="0026479F"/>
    <w:rsid w:val="00266E5D"/>
    <w:rsid w:val="00277681"/>
    <w:rsid w:val="00282639"/>
    <w:rsid w:val="002870A3"/>
    <w:rsid w:val="0029431C"/>
    <w:rsid w:val="00295914"/>
    <w:rsid w:val="002A1EC2"/>
    <w:rsid w:val="002A78AD"/>
    <w:rsid w:val="002B0499"/>
    <w:rsid w:val="002B6B3D"/>
    <w:rsid w:val="002C6227"/>
    <w:rsid w:val="002C669C"/>
    <w:rsid w:val="002D39EF"/>
    <w:rsid w:val="002D3CE8"/>
    <w:rsid w:val="002E3E1D"/>
    <w:rsid w:val="003006AE"/>
    <w:rsid w:val="003037EE"/>
    <w:rsid w:val="00330C5C"/>
    <w:rsid w:val="003355AB"/>
    <w:rsid w:val="003401CB"/>
    <w:rsid w:val="00343CCF"/>
    <w:rsid w:val="00345863"/>
    <w:rsid w:val="003471FB"/>
    <w:rsid w:val="00356CF5"/>
    <w:rsid w:val="00363489"/>
    <w:rsid w:val="00367196"/>
    <w:rsid w:val="00367964"/>
    <w:rsid w:val="00371914"/>
    <w:rsid w:val="00382590"/>
    <w:rsid w:val="00387627"/>
    <w:rsid w:val="0039104D"/>
    <w:rsid w:val="003916F5"/>
    <w:rsid w:val="00391832"/>
    <w:rsid w:val="00396835"/>
    <w:rsid w:val="003A24CA"/>
    <w:rsid w:val="003C0FD2"/>
    <w:rsid w:val="003C26F7"/>
    <w:rsid w:val="003C3C26"/>
    <w:rsid w:val="003C7F39"/>
    <w:rsid w:val="003D4A90"/>
    <w:rsid w:val="003D6646"/>
    <w:rsid w:val="003F1E30"/>
    <w:rsid w:val="00404591"/>
    <w:rsid w:val="00410885"/>
    <w:rsid w:val="00410AE4"/>
    <w:rsid w:val="00433AFA"/>
    <w:rsid w:val="00434560"/>
    <w:rsid w:val="0044271B"/>
    <w:rsid w:val="00445A82"/>
    <w:rsid w:val="00450ABE"/>
    <w:rsid w:val="00453E1B"/>
    <w:rsid w:val="004603C3"/>
    <w:rsid w:val="00470248"/>
    <w:rsid w:val="00472759"/>
    <w:rsid w:val="004913BC"/>
    <w:rsid w:val="00491829"/>
    <w:rsid w:val="00492D6A"/>
    <w:rsid w:val="00497338"/>
    <w:rsid w:val="004A2764"/>
    <w:rsid w:val="004A2BE4"/>
    <w:rsid w:val="004A7E4D"/>
    <w:rsid w:val="004B624C"/>
    <w:rsid w:val="004C3D29"/>
    <w:rsid w:val="004D5F6F"/>
    <w:rsid w:val="004E4F1B"/>
    <w:rsid w:val="004F2002"/>
    <w:rsid w:val="004F7C7F"/>
    <w:rsid w:val="0050702E"/>
    <w:rsid w:val="00510263"/>
    <w:rsid w:val="00513F78"/>
    <w:rsid w:val="0052474D"/>
    <w:rsid w:val="005248B6"/>
    <w:rsid w:val="00524A5F"/>
    <w:rsid w:val="005353EB"/>
    <w:rsid w:val="00540B0D"/>
    <w:rsid w:val="005460F5"/>
    <w:rsid w:val="0057358A"/>
    <w:rsid w:val="00573BC8"/>
    <w:rsid w:val="00574BC8"/>
    <w:rsid w:val="005801FA"/>
    <w:rsid w:val="005813A1"/>
    <w:rsid w:val="0058452D"/>
    <w:rsid w:val="00595566"/>
    <w:rsid w:val="0059790C"/>
    <w:rsid w:val="005A5A85"/>
    <w:rsid w:val="005B36B4"/>
    <w:rsid w:val="005B57AD"/>
    <w:rsid w:val="005C1459"/>
    <w:rsid w:val="005C76EF"/>
    <w:rsid w:val="005F07C5"/>
    <w:rsid w:val="005F3081"/>
    <w:rsid w:val="006070A3"/>
    <w:rsid w:val="00613C7B"/>
    <w:rsid w:val="00624475"/>
    <w:rsid w:val="00626BAE"/>
    <w:rsid w:val="00631F9F"/>
    <w:rsid w:val="00645E93"/>
    <w:rsid w:val="0066376B"/>
    <w:rsid w:val="0069639D"/>
    <w:rsid w:val="006C21BE"/>
    <w:rsid w:val="006C7C1D"/>
    <w:rsid w:val="006F5F9D"/>
    <w:rsid w:val="007021DA"/>
    <w:rsid w:val="0071083B"/>
    <w:rsid w:val="00710EF6"/>
    <w:rsid w:val="00711AA0"/>
    <w:rsid w:val="007125C9"/>
    <w:rsid w:val="0071759D"/>
    <w:rsid w:val="00723770"/>
    <w:rsid w:val="00726B14"/>
    <w:rsid w:val="00733A02"/>
    <w:rsid w:val="00734F80"/>
    <w:rsid w:val="007372A2"/>
    <w:rsid w:val="00747980"/>
    <w:rsid w:val="00754096"/>
    <w:rsid w:val="00763EE1"/>
    <w:rsid w:val="0076608C"/>
    <w:rsid w:val="0078321B"/>
    <w:rsid w:val="007840C1"/>
    <w:rsid w:val="0078537C"/>
    <w:rsid w:val="007A07D2"/>
    <w:rsid w:val="007A0926"/>
    <w:rsid w:val="007B0E73"/>
    <w:rsid w:val="007B0FE7"/>
    <w:rsid w:val="007B6AC9"/>
    <w:rsid w:val="007C1751"/>
    <w:rsid w:val="007C4EBC"/>
    <w:rsid w:val="007C516C"/>
    <w:rsid w:val="007D5E1A"/>
    <w:rsid w:val="007E0DE9"/>
    <w:rsid w:val="007E482E"/>
    <w:rsid w:val="007E5DE1"/>
    <w:rsid w:val="007F0E31"/>
    <w:rsid w:val="007F4F7D"/>
    <w:rsid w:val="00801D8A"/>
    <w:rsid w:val="00805868"/>
    <w:rsid w:val="00807677"/>
    <w:rsid w:val="008109FD"/>
    <w:rsid w:val="008174E6"/>
    <w:rsid w:val="0082166A"/>
    <w:rsid w:val="00821FB1"/>
    <w:rsid w:val="00822505"/>
    <w:rsid w:val="00833049"/>
    <w:rsid w:val="00833BFE"/>
    <w:rsid w:val="00851C41"/>
    <w:rsid w:val="00856F94"/>
    <w:rsid w:val="00881250"/>
    <w:rsid w:val="00886D6B"/>
    <w:rsid w:val="00887C44"/>
    <w:rsid w:val="00895058"/>
    <w:rsid w:val="008A6EF2"/>
    <w:rsid w:val="008A7065"/>
    <w:rsid w:val="008A756B"/>
    <w:rsid w:val="008C053A"/>
    <w:rsid w:val="008C2593"/>
    <w:rsid w:val="008C60D8"/>
    <w:rsid w:val="008D3A64"/>
    <w:rsid w:val="008D5238"/>
    <w:rsid w:val="008D5633"/>
    <w:rsid w:val="009009AF"/>
    <w:rsid w:val="00903D0B"/>
    <w:rsid w:val="0090628A"/>
    <w:rsid w:val="00923F29"/>
    <w:rsid w:val="00936F18"/>
    <w:rsid w:val="009427D6"/>
    <w:rsid w:val="00946A75"/>
    <w:rsid w:val="0095633C"/>
    <w:rsid w:val="00963720"/>
    <w:rsid w:val="00982A11"/>
    <w:rsid w:val="00986241"/>
    <w:rsid w:val="00994F80"/>
    <w:rsid w:val="009A0231"/>
    <w:rsid w:val="009A250D"/>
    <w:rsid w:val="009A40B4"/>
    <w:rsid w:val="009B7847"/>
    <w:rsid w:val="009C1BE7"/>
    <w:rsid w:val="009C320B"/>
    <w:rsid w:val="009D7AB8"/>
    <w:rsid w:val="009E11C0"/>
    <w:rsid w:val="009F4AE0"/>
    <w:rsid w:val="009F614D"/>
    <w:rsid w:val="00A02143"/>
    <w:rsid w:val="00A06AB9"/>
    <w:rsid w:val="00A140A9"/>
    <w:rsid w:val="00A276C3"/>
    <w:rsid w:val="00A33B9D"/>
    <w:rsid w:val="00A46D33"/>
    <w:rsid w:val="00A549E1"/>
    <w:rsid w:val="00A554B6"/>
    <w:rsid w:val="00A65192"/>
    <w:rsid w:val="00A71DC6"/>
    <w:rsid w:val="00A75E05"/>
    <w:rsid w:val="00A90611"/>
    <w:rsid w:val="00A92F7B"/>
    <w:rsid w:val="00A938D3"/>
    <w:rsid w:val="00AA06D1"/>
    <w:rsid w:val="00AA390D"/>
    <w:rsid w:val="00AC4321"/>
    <w:rsid w:val="00AC56B1"/>
    <w:rsid w:val="00AC6B4B"/>
    <w:rsid w:val="00AD137C"/>
    <w:rsid w:val="00AD717F"/>
    <w:rsid w:val="00AE0412"/>
    <w:rsid w:val="00AE3134"/>
    <w:rsid w:val="00B071CC"/>
    <w:rsid w:val="00B1102B"/>
    <w:rsid w:val="00B16701"/>
    <w:rsid w:val="00B172D0"/>
    <w:rsid w:val="00B24C1B"/>
    <w:rsid w:val="00B25B99"/>
    <w:rsid w:val="00B30CBB"/>
    <w:rsid w:val="00B31DA6"/>
    <w:rsid w:val="00B32CDE"/>
    <w:rsid w:val="00B45511"/>
    <w:rsid w:val="00B50058"/>
    <w:rsid w:val="00B51A37"/>
    <w:rsid w:val="00B553C4"/>
    <w:rsid w:val="00B7041B"/>
    <w:rsid w:val="00B71472"/>
    <w:rsid w:val="00B715D1"/>
    <w:rsid w:val="00B71699"/>
    <w:rsid w:val="00B747A8"/>
    <w:rsid w:val="00B76C5B"/>
    <w:rsid w:val="00B7710C"/>
    <w:rsid w:val="00B83D83"/>
    <w:rsid w:val="00B86CE1"/>
    <w:rsid w:val="00B924AF"/>
    <w:rsid w:val="00B95D02"/>
    <w:rsid w:val="00BA2978"/>
    <w:rsid w:val="00BB0377"/>
    <w:rsid w:val="00BB08BA"/>
    <w:rsid w:val="00BB2060"/>
    <w:rsid w:val="00BB4816"/>
    <w:rsid w:val="00BB5BA7"/>
    <w:rsid w:val="00BC757C"/>
    <w:rsid w:val="00BD3650"/>
    <w:rsid w:val="00BD3E99"/>
    <w:rsid w:val="00BE1479"/>
    <w:rsid w:val="00BF164F"/>
    <w:rsid w:val="00BF7FDB"/>
    <w:rsid w:val="00C04885"/>
    <w:rsid w:val="00C05E07"/>
    <w:rsid w:val="00C174BE"/>
    <w:rsid w:val="00C23E3A"/>
    <w:rsid w:val="00C33EF8"/>
    <w:rsid w:val="00C36087"/>
    <w:rsid w:val="00C51618"/>
    <w:rsid w:val="00C5461D"/>
    <w:rsid w:val="00C561FB"/>
    <w:rsid w:val="00C622A8"/>
    <w:rsid w:val="00C84171"/>
    <w:rsid w:val="00C84F28"/>
    <w:rsid w:val="00C85267"/>
    <w:rsid w:val="00C9380F"/>
    <w:rsid w:val="00CA00D2"/>
    <w:rsid w:val="00CA325E"/>
    <w:rsid w:val="00CB465F"/>
    <w:rsid w:val="00CC3B51"/>
    <w:rsid w:val="00CF33F6"/>
    <w:rsid w:val="00CF6D51"/>
    <w:rsid w:val="00D01539"/>
    <w:rsid w:val="00D0274D"/>
    <w:rsid w:val="00D032EE"/>
    <w:rsid w:val="00D056BD"/>
    <w:rsid w:val="00D205FB"/>
    <w:rsid w:val="00D27F6F"/>
    <w:rsid w:val="00D32E1E"/>
    <w:rsid w:val="00D5592F"/>
    <w:rsid w:val="00D64B13"/>
    <w:rsid w:val="00D744BB"/>
    <w:rsid w:val="00D820CE"/>
    <w:rsid w:val="00D87453"/>
    <w:rsid w:val="00DC40C6"/>
    <w:rsid w:val="00DD4EB9"/>
    <w:rsid w:val="00DD7175"/>
    <w:rsid w:val="00DE271F"/>
    <w:rsid w:val="00DE3A3A"/>
    <w:rsid w:val="00E01006"/>
    <w:rsid w:val="00E13225"/>
    <w:rsid w:val="00E15C6A"/>
    <w:rsid w:val="00E22C7C"/>
    <w:rsid w:val="00E25258"/>
    <w:rsid w:val="00E265B3"/>
    <w:rsid w:val="00E374DB"/>
    <w:rsid w:val="00E579BA"/>
    <w:rsid w:val="00E62E3E"/>
    <w:rsid w:val="00E657D3"/>
    <w:rsid w:val="00E87706"/>
    <w:rsid w:val="00E90DBE"/>
    <w:rsid w:val="00EA2D3D"/>
    <w:rsid w:val="00EC15FE"/>
    <w:rsid w:val="00EC5C47"/>
    <w:rsid w:val="00EC5C6A"/>
    <w:rsid w:val="00ED294E"/>
    <w:rsid w:val="00ED61A8"/>
    <w:rsid w:val="00EE1530"/>
    <w:rsid w:val="00EE3599"/>
    <w:rsid w:val="00EE7210"/>
    <w:rsid w:val="00EF7A23"/>
    <w:rsid w:val="00F02D92"/>
    <w:rsid w:val="00F26E3D"/>
    <w:rsid w:val="00F30115"/>
    <w:rsid w:val="00F3336F"/>
    <w:rsid w:val="00F40483"/>
    <w:rsid w:val="00F41936"/>
    <w:rsid w:val="00F4373A"/>
    <w:rsid w:val="00F43A70"/>
    <w:rsid w:val="00F46AF4"/>
    <w:rsid w:val="00F56CA8"/>
    <w:rsid w:val="00F61E3C"/>
    <w:rsid w:val="00F640A3"/>
    <w:rsid w:val="00F75108"/>
    <w:rsid w:val="00F81FB3"/>
    <w:rsid w:val="00F8386D"/>
    <w:rsid w:val="00F87763"/>
    <w:rsid w:val="00F9117B"/>
    <w:rsid w:val="00F960EF"/>
    <w:rsid w:val="00FA3AF4"/>
    <w:rsid w:val="00FB4C80"/>
    <w:rsid w:val="00FC2D69"/>
    <w:rsid w:val="00FC388A"/>
    <w:rsid w:val="00FD323C"/>
    <w:rsid w:val="00FD73DB"/>
    <w:rsid w:val="00FE4D69"/>
    <w:rsid w:val="00FF2EFA"/>
    <w:rsid w:val="00FF4BD7"/>
    <w:rsid w:val="00FF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0757FAF"/>
  <w15:docId w15:val="{4F5FA9CB-46A6-4BCA-AC85-F0EDE859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Batang"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s-US"/>
    </w:rPr>
  </w:style>
  <w:style w:type="paragraph" w:styleId="Heading1">
    <w:name w:val="heading 1"/>
    <w:aliases w:val="Heading 1 Char Char,Heading 1 Char1,Heading 1 Char1 Car"/>
    <w:basedOn w:val="Normal"/>
    <w:next w:val="Normal"/>
    <w:link w:val="Heading1Char"/>
    <w:qFormat/>
    <w:rsid w:val="000A72D1"/>
    <w:pPr>
      <w:keepNext/>
      <w:snapToGrid w:val="0"/>
      <w:spacing w:before="240" w:after="60" w:line="240" w:lineRule="auto"/>
      <w:outlineLvl w:val="0"/>
    </w:pPr>
    <w:rPr>
      <w:rFonts w:ascii="Arial" w:eastAsia="Times New Roman" w:hAnsi="Arial" w:cs="Arial"/>
      <w:kern w:val="32"/>
      <w:sz w:val="32"/>
      <w:szCs w:val="32"/>
      <w:lang w:val="en-US"/>
    </w:rPr>
  </w:style>
  <w:style w:type="paragraph" w:styleId="Heading2">
    <w:name w:val="heading 2"/>
    <w:basedOn w:val="Normal"/>
    <w:next w:val="Normal"/>
    <w:link w:val="Heading2Char"/>
    <w:uiPriority w:val="9"/>
    <w:qFormat/>
    <w:rsid w:val="00EC5C6A"/>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6070A3"/>
    <w:pPr>
      <w:spacing w:before="100" w:beforeAutospacing="1" w:after="100" w:afterAutospacing="1" w:line="240" w:lineRule="auto"/>
    </w:pPr>
    <w:rPr>
      <w:rFonts w:ascii="Times New Roman" w:eastAsia="Times New Roman" w:hAnsi="Times New Roman"/>
      <w:sz w:val="24"/>
      <w:szCs w:val="24"/>
      <w:lang w:val="es-ES"/>
    </w:rPr>
  </w:style>
  <w:style w:type="paragraph" w:customStyle="1" w:styleId="CPClassification">
    <w:name w:val="CP Classification"/>
    <w:basedOn w:val="Normal"/>
    <w:rsid w:val="006070A3"/>
    <w:pPr>
      <w:tabs>
        <w:tab w:val="center" w:pos="2160"/>
        <w:tab w:val="left" w:pos="7200"/>
      </w:tabs>
      <w:spacing w:after="0" w:line="240" w:lineRule="auto"/>
      <w:ind w:left="7200" w:right="-360"/>
      <w:jc w:val="both"/>
    </w:pPr>
    <w:rPr>
      <w:rFonts w:ascii="Times New Roman" w:eastAsia="Times New Roman" w:hAnsi="Times New Roman"/>
      <w:szCs w:val="20"/>
      <w:lang w:val="es-ES"/>
    </w:rPr>
  </w:style>
  <w:style w:type="character" w:customStyle="1" w:styleId="NormalWebChar">
    <w:name w:val="Normal (Web) Char"/>
    <w:link w:val="NormalWeb"/>
    <w:rsid w:val="006070A3"/>
    <w:rPr>
      <w:rFonts w:ascii="Times New Roman" w:eastAsia="Times New Roman" w:hAnsi="Times New Roman" w:cs="Times New Roman"/>
      <w:sz w:val="24"/>
      <w:szCs w:val="24"/>
      <w:lang w:val="es-ES"/>
    </w:rPr>
  </w:style>
  <w:style w:type="paragraph" w:styleId="Header">
    <w:name w:val="header"/>
    <w:aliases w:val="encabezado"/>
    <w:basedOn w:val="Normal"/>
    <w:link w:val="HeaderChar"/>
    <w:uiPriority w:val="99"/>
    <w:unhideWhenUsed/>
    <w:rsid w:val="006070A3"/>
    <w:pPr>
      <w:tabs>
        <w:tab w:val="center" w:pos="4419"/>
        <w:tab w:val="right" w:pos="8838"/>
      </w:tabs>
      <w:spacing w:after="0" w:line="240" w:lineRule="auto"/>
    </w:pPr>
  </w:style>
  <w:style w:type="character" w:customStyle="1" w:styleId="HeaderChar">
    <w:name w:val="Header Char"/>
    <w:aliases w:val="encabezado Char"/>
    <w:basedOn w:val="DefaultParagraphFont"/>
    <w:link w:val="Header"/>
    <w:uiPriority w:val="99"/>
    <w:rsid w:val="006070A3"/>
  </w:style>
  <w:style w:type="paragraph" w:styleId="Footer">
    <w:name w:val="footer"/>
    <w:basedOn w:val="Normal"/>
    <w:link w:val="FooterChar"/>
    <w:uiPriority w:val="99"/>
    <w:unhideWhenUsed/>
    <w:rsid w:val="006070A3"/>
    <w:pPr>
      <w:tabs>
        <w:tab w:val="center" w:pos="4419"/>
        <w:tab w:val="right" w:pos="8838"/>
      </w:tabs>
      <w:spacing w:after="0" w:line="240" w:lineRule="auto"/>
    </w:pPr>
  </w:style>
  <w:style w:type="character" w:customStyle="1" w:styleId="FooterChar">
    <w:name w:val="Footer Char"/>
    <w:basedOn w:val="DefaultParagraphFont"/>
    <w:link w:val="Footer"/>
    <w:uiPriority w:val="99"/>
    <w:rsid w:val="006070A3"/>
  </w:style>
  <w:style w:type="paragraph" w:customStyle="1" w:styleId="Prrafodelista1">
    <w:name w:val="Párrafo de lista1"/>
    <w:basedOn w:val="Normal"/>
    <w:uiPriority w:val="34"/>
    <w:qFormat/>
    <w:rsid w:val="006070A3"/>
    <w:pPr>
      <w:ind w:left="720"/>
      <w:contextualSpacing/>
    </w:pPr>
  </w:style>
  <w:style w:type="paragraph" w:customStyle="1" w:styleId="Heading">
    <w:name w:val="Heading"/>
    <w:basedOn w:val="Normal"/>
    <w:rsid w:val="006070A3"/>
    <w:pPr>
      <w:tabs>
        <w:tab w:val="center" w:pos="2160"/>
        <w:tab w:val="left" w:pos="7200"/>
      </w:tabs>
      <w:spacing w:after="0" w:line="240" w:lineRule="auto"/>
    </w:pPr>
    <w:rPr>
      <w:rFonts w:ascii="Times New Roman" w:eastAsia="SimSun" w:hAnsi="Times New Roman"/>
      <w:szCs w:val="20"/>
      <w:lang w:val="es-ES" w:eastAsia="zh-CN"/>
    </w:rPr>
  </w:style>
  <w:style w:type="paragraph" w:customStyle="1" w:styleId="Indenthangi">
    <w:name w:val="Indent hangi"/>
    <w:rsid w:val="006070A3"/>
    <w:pPr>
      <w:widowControl w:val="0"/>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ascii="Times New Roman" w:eastAsia="Times New Roman" w:hAnsi="Times New Roman"/>
      <w:snapToGrid w:val="0"/>
      <w:sz w:val="22"/>
      <w:szCs w:val="22"/>
      <w:lang w:val="es-ES"/>
    </w:rPr>
  </w:style>
  <w:style w:type="character" w:customStyle="1" w:styleId="Heading1Char">
    <w:name w:val="Heading 1 Char"/>
    <w:aliases w:val="Heading 1 Char Char Char,Heading 1 Char1 Char,Heading 1 Char1 Car Char"/>
    <w:link w:val="Heading1"/>
    <w:rsid w:val="000A72D1"/>
    <w:rPr>
      <w:rFonts w:ascii="Arial" w:eastAsia="Times New Roman" w:hAnsi="Arial" w:cs="Arial"/>
      <w:kern w:val="32"/>
      <w:sz w:val="32"/>
      <w:szCs w:val="32"/>
      <w:lang w:val="en-US"/>
    </w:rPr>
  </w:style>
  <w:style w:type="character" w:styleId="Hyperlink">
    <w:name w:val="Hyperlink"/>
    <w:uiPriority w:val="99"/>
    <w:semiHidden/>
    <w:unhideWhenUsed/>
    <w:rsid w:val="00A02143"/>
    <w:rPr>
      <w:strike w:val="0"/>
      <w:dstrike w:val="0"/>
      <w:color w:val="0000FF"/>
      <w:u w:val="none"/>
      <w:effect w:val="none"/>
    </w:rPr>
  </w:style>
  <w:style w:type="paragraph" w:styleId="FootnoteText">
    <w:name w:val="footnote text"/>
    <w:basedOn w:val="Normal"/>
    <w:link w:val="FootnoteTextChar"/>
    <w:uiPriority w:val="99"/>
    <w:semiHidden/>
    <w:unhideWhenUsed/>
    <w:rsid w:val="007A07D2"/>
    <w:pPr>
      <w:spacing w:after="0" w:line="240" w:lineRule="auto"/>
    </w:pPr>
    <w:rPr>
      <w:sz w:val="20"/>
      <w:szCs w:val="20"/>
    </w:rPr>
  </w:style>
  <w:style w:type="character" w:customStyle="1" w:styleId="FootnoteTextChar">
    <w:name w:val="Footnote Text Char"/>
    <w:link w:val="FootnoteText"/>
    <w:uiPriority w:val="99"/>
    <w:semiHidden/>
    <w:rsid w:val="007A07D2"/>
    <w:rPr>
      <w:sz w:val="20"/>
      <w:szCs w:val="20"/>
    </w:rPr>
  </w:style>
  <w:style w:type="character" w:styleId="FootnoteReference">
    <w:name w:val="footnote reference"/>
    <w:uiPriority w:val="99"/>
    <w:semiHidden/>
    <w:unhideWhenUsed/>
    <w:rsid w:val="007A07D2"/>
    <w:rPr>
      <w:vertAlign w:val="superscript"/>
    </w:rPr>
  </w:style>
  <w:style w:type="paragraph" w:customStyle="1" w:styleId="msonormalcxspmiddle">
    <w:name w:val="msonormalcxspmiddle"/>
    <w:basedOn w:val="Normal"/>
    <w:rsid w:val="00D205FB"/>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Style2">
    <w:name w:val="Style2"/>
    <w:basedOn w:val="Heading2"/>
    <w:link w:val="Style2Char"/>
    <w:autoRedefine/>
    <w:rsid w:val="00EC5C6A"/>
    <w:pPr>
      <w:keepLines w:val="0"/>
      <w:spacing w:before="0" w:line="240" w:lineRule="auto"/>
      <w:jc w:val="center"/>
    </w:pPr>
    <w:rPr>
      <w:rFonts w:ascii="Times New Roman" w:eastAsia="Times New Roman" w:hAnsi="Times New Roman" w:cs="Arial"/>
      <w:b w:val="0"/>
      <w:bCs w:val="0"/>
      <w:iCs/>
      <w:caps/>
      <w:noProof/>
      <w:snapToGrid w:val="0"/>
      <w:color w:val="auto"/>
      <w:kern w:val="32"/>
      <w:sz w:val="22"/>
      <w:szCs w:val="22"/>
      <w:lang w:val="pt-BR"/>
    </w:rPr>
  </w:style>
  <w:style w:type="character" w:customStyle="1" w:styleId="Style2Char">
    <w:name w:val="Style2 Char"/>
    <w:link w:val="Style2"/>
    <w:locked/>
    <w:rsid w:val="00EC5C6A"/>
    <w:rPr>
      <w:rFonts w:ascii="Times New Roman" w:eastAsia="Times New Roman" w:hAnsi="Times New Roman" w:cs="Arial"/>
      <w:iCs/>
      <w:caps/>
      <w:noProof/>
      <w:snapToGrid w:val="0"/>
      <w:kern w:val="32"/>
      <w:lang w:val="pt-BR"/>
    </w:rPr>
  </w:style>
  <w:style w:type="character" w:customStyle="1" w:styleId="Heading2Char">
    <w:name w:val="Heading 2 Char"/>
    <w:link w:val="Heading2"/>
    <w:uiPriority w:val="9"/>
    <w:semiHidden/>
    <w:rsid w:val="00EC5C6A"/>
    <w:rPr>
      <w:rFonts w:ascii="Cambria" w:eastAsia="MS Gothic" w:hAnsi="Cambria" w:cs="Times New Roman"/>
      <w:b/>
      <w:bCs/>
      <w:color w:val="4F81BD"/>
      <w:sz w:val="26"/>
      <w:szCs w:val="26"/>
    </w:rPr>
  </w:style>
  <w:style w:type="paragraph" w:styleId="BalloonText">
    <w:name w:val="Balloon Text"/>
    <w:basedOn w:val="Normal"/>
    <w:semiHidden/>
    <w:rsid w:val="007F0E31"/>
    <w:rPr>
      <w:rFonts w:ascii="Tahoma" w:hAnsi="Tahoma" w:cs="Tahoma"/>
      <w:sz w:val="16"/>
      <w:szCs w:val="16"/>
    </w:rPr>
  </w:style>
  <w:style w:type="paragraph" w:customStyle="1" w:styleId="CharCharCharChar">
    <w:name w:val="Char Char Char 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customStyle="1" w:styleId="Char">
    <w:name w:val="Char"/>
    <w:basedOn w:val="Normal"/>
    <w:rsid w:val="009A40B4"/>
    <w:pPr>
      <w:tabs>
        <w:tab w:val="left" w:pos="540"/>
        <w:tab w:val="left" w:pos="1260"/>
        <w:tab w:val="left" w:pos="1800"/>
      </w:tabs>
      <w:spacing w:before="240" w:after="160" w:line="240" w:lineRule="exact"/>
    </w:pPr>
    <w:rPr>
      <w:rFonts w:ascii="Verdana" w:eastAsia="Times New Roman" w:hAnsi="Verdana"/>
      <w:sz w:val="24"/>
      <w:szCs w:val="20"/>
      <w:lang w:val="en-US"/>
    </w:rPr>
  </w:style>
  <w:style w:type="paragraph" w:styleId="EndnoteText">
    <w:name w:val="endnote text"/>
    <w:basedOn w:val="Normal"/>
    <w:link w:val="EndnoteTextChar"/>
    <w:uiPriority w:val="99"/>
    <w:semiHidden/>
    <w:unhideWhenUsed/>
    <w:rsid w:val="00445A82"/>
    <w:rPr>
      <w:sz w:val="20"/>
      <w:szCs w:val="20"/>
    </w:rPr>
  </w:style>
  <w:style w:type="character" w:customStyle="1" w:styleId="EndnoteTextChar">
    <w:name w:val="Endnote Text Char"/>
    <w:link w:val="EndnoteText"/>
    <w:uiPriority w:val="99"/>
    <w:semiHidden/>
    <w:rsid w:val="00445A82"/>
    <w:rPr>
      <w:lang w:eastAsia="en-US"/>
    </w:rPr>
  </w:style>
  <w:style w:type="character" w:styleId="EndnoteReference">
    <w:name w:val="endnote reference"/>
    <w:uiPriority w:val="99"/>
    <w:semiHidden/>
    <w:unhideWhenUsed/>
    <w:rsid w:val="00445A82"/>
    <w:rPr>
      <w:vertAlign w:val="superscript"/>
    </w:rPr>
  </w:style>
  <w:style w:type="character" w:styleId="CommentReference">
    <w:name w:val="annotation reference"/>
    <w:semiHidden/>
    <w:rsid w:val="00851C41"/>
    <w:rPr>
      <w:sz w:val="16"/>
      <w:szCs w:val="16"/>
    </w:rPr>
  </w:style>
  <w:style w:type="paragraph" w:styleId="CommentText">
    <w:name w:val="annotation text"/>
    <w:basedOn w:val="Normal"/>
    <w:semiHidden/>
    <w:rsid w:val="00851C41"/>
    <w:rPr>
      <w:sz w:val="20"/>
      <w:szCs w:val="20"/>
    </w:rPr>
  </w:style>
  <w:style w:type="paragraph" w:styleId="CommentSubject">
    <w:name w:val="annotation subject"/>
    <w:basedOn w:val="CommentText"/>
    <w:next w:val="CommentText"/>
    <w:semiHidden/>
    <w:rsid w:val="00851C41"/>
    <w:rPr>
      <w:b/>
      <w:bCs/>
    </w:rPr>
  </w:style>
  <w:style w:type="paragraph" w:styleId="BodyText">
    <w:name w:val="Body Text"/>
    <w:basedOn w:val="Normal"/>
    <w:rsid w:val="00BA2978"/>
    <w:pPr>
      <w:spacing w:after="120"/>
    </w:pPr>
  </w:style>
  <w:style w:type="paragraph" w:styleId="PlainText">
    <w:name w:val="Plain Text"/>
    <w:basedOn w:val="Normal"/>
    <w:unhideWhenUsed/>
    <w:rsid w:val="00805868"/>
    <w:pPr>
      <w:spacing w:after="0" w:line="240" w:lineRule="auto"/>
    </w:pPr>
    <w:rPr>
      <w:rFonts w:ascii="Consolas" w:eastAsia="Calibri" w:hAnsi="Consolas"/>
      <w:sz w:val="21"/>
      <w:szCs w:val="21"/>
      <w:lang w:val="x-none" w:eastAsia="x-none"/>
    </w:rPr>
  </w:style>
  <w:style w:type="paragraph" w:styleId="ListParagraph">
    <w:name w:val="List Paragraph"/>
    <w:aliases w:val="Dot pt,No Spacing1,List Paragraph Char Char Char,Indicator Text,Numbered Para 1,Colorful List - Accent 11,Bullet 1,F5 List Paragraph,Bullet Points,Normal Fv,viñetas,List Paragraph2,MAIN CONTENT,3,List Paragraph1,Figuras"/>
    <w:basedOn w:val="Normal"/>
    <w:link w:val="ListParagraphChar"/>
    <w:uiPriority w:val="34"/>
    <w:qFormat/>
    <w:rsid w:val="00B071CC"/>
    <w:pPr>
      <w:ind w:left="720"/>
      <w:contextualSpacing/>
    </w:pPr>
    <w:rPr>
      <w:rFonts w:eastAsia="SimSun"/>
      <w:lang w:val="es-MX" w:eastAsia="es-MX"/>
    </w:rPr>
  </w:style>
  <w:style w:type="character" w:customStyle="1" w:styleId="ListParagraphChar">
    <w:name w:val="List Paragraph Char"/>
    <w:aliases w:val="Dot pt Char,No Spacing1 Char,List Paragraph Char Char Char Char,Indicator Text Char,Numbered Para 1 Char,Colorful List - Accent 11 Char,Bullet 1 Char,F5 List Paragraph Char,Bullet Points Char,Normal Fv Char,viñetas Char,3 Char"/>
    <w:link w:val="ListParagraph"/>
    <w:uiPriority w:val="34"/>
    <w:qFormat/>
    <w:rsid w:val="00B071CC"/>
    <w:rPr>
      <w:rFonts w:eastAsia="SimSun"/>
      <w:sz w:val="22"/>
      <w:szCs w:val="22"/>
      <w:lang w:val="es-MX" w:eastAsia="es-MX"/>
    </w:rPr>
  </w:style>
  <w:style w:type="paragraph" w:customStyle="1" w:styleId="horario">
    <w:name w:val="horario"/>
    <w:basedOn w:val="Normal"/>
    <w:rsid w:val="00295914"/>
    <w:pPr>
      <w:spacing w:before="100" w:beforeAutospacing="1" w:after="100" w:afterAutospacing="1" w:line="240" w:lineRule="auto"/>
    </w:pPr>
    <w:rPr>
      <w:rFonts w:ascii="Times New Roman" w:eastAsiaTheme="minorHAnsi" w:hAnsi="Times New Roman"/>
      <w:sz w:val="24"/>
      <w:szCs w:val="24"/>
      <w:lang w:val="en-US"/>
    </w:rPr>
  </w:style>
  <w:style w:type="character" w:styleId="Emphasis">
    <w:name w:val="Emphasis"/>
    <w:basedOn w:val="DefaultParagraphFont"/>
    <w:uiPriority w:val="20"/>
    <w:qFormat/>
    <w:rsid w:val="000E1E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3468360">
      <w:bodyDiv w:val="1"/>
      <w:marLeft w:val="0"/>
      <w:marRight w:val="0"/>
      <w:marTop w:val="0"/>
      <w:marBottom w:val="0"/>
      <w:divBdr>
        <w:top w:val="none" w:sz="0" w:space="0" w:color="auto"/>
        <w:left w:val="none" w:sz="0" w:space="0" w:color="auto"/>
        <w:bottom w:val="none" w:sz="0" w:space="0" w:color="auto"/>
        <w:right w:val="none" w:sz="0" w:space="0" w:color="auto"/>
      </w:divBdr>
    </w:div>
    <w:div w:id="336663065">
      <w:bodyDiv w:val="1"/>
      <w:marLeft w:val="0"/>
      <w:marRight w:val="0"/>
      <w:marTop w:val="0"/>
      <w:marBottom w:val="0"/>
      <w:divBdr>
        <w:top w:val="none" w:sz="0" w:space="0" w:color="auto"/>
        <w:left w:val="none" w:sz="0" w:space="0" w:color="auto"/>
        <w:bottom w:val="none" w:sz="0" w:space="0" w:color="auto"/>
        <w:right w:val="none" w:sz="0" w:space="0" w:color="auto"/>
      </w:divBdr>
    </w:div>
    <w:div w:id="441806439">
      <w:bodyDiv w:val="1"/>
      <w:marLeft w:val="0"/>
      <w:marRight w:val="0"/>
      <w:marTop w:val="75"/>
      <w:marBottom w:val="0"/>
      <w:divBdr>
        <w:top w:val="none" w:sz="0" w:space="0" w:color="auto"/>
        <w:left w:val="none" w:sz="0" w:space="0" w:color="auto"/>
        <w:bottom w:val="none" w:sz="0" w:space="0" w:color="auto"/>
        <w:right w:val="none" w:sz="0" w:space="0" w:color="auto"/>
      </w:divBdr>
      <w:divsChild>
        <w:div w:id="1677534955">
          <w:marLeft w:val="0"/>
          <w:marRight w:val="0"/>
          <w:marTop w:val="0"/>
          <w:marBottom w:val="0"/>
          <w:divBdr>
            <w:top w:val="none" w:sz="0" w:space="0" w:color="auto"/>
            <w:left w:val="none" w:sz="0" w:space="0" w:color="auto"/>
            <w:bottom w:val="none" w:sz="0" w:space="0" w:color="auto"/>
            <w:right w:val="none" w:sz="0" w:space="0" w:color="auto"/>
          </w:divBdr>
        </w:div>
      </w:divsChild>
    </w:div>
    <w:div w:id="774833296">
      <w:bodyDiv w:val="1"/>
      <w:marLeft w:val="0"/>
      <w:marRight w:val="0"/>
      <w:marTop w:val="0"/>
      <w:marBottom w:val="0"/>
      <w:divBdr>
        <w:top w:val="none" w:sz="0" w:space="0" w:color="auto"/>
        <w:left w:val="none" w:sz="0" w:space="0" w:color="auto"/>
        <w:bottom w:val="none" w:sz="0" w:space="0" w:color="auto"/>
        <w:right w:val="none" w:sz="0" w:space="0" w:color="auto"/>
      </w:divBdr>
    </w:div>
    <w:div w:id="976568450">
      <w:bodyDiv w:val="1"/>
      <w:marLeft w:val="0"/>
      <w:marRight w:val="0"/>
      <w:marTop w:val="0"/>
      <w:marBottom w:val="0"/>
      <w:divBdr>
        <w:top w:val="none" w:sz="0" w:space="0" w:color="auto"/>
        <w:left w:val="none" w:sz="0" w:space="0" w:color="auto"/>
        <w:bottom w:val="none" w:sz="0" w:space="0" w:color="auto"/>
        <w:right w:val="none" w:sz="0" w:space="0" w:color="auto"/>
      </w:divBdr>
    </w:div>
    <w:div w:id="1222063365">
      <w:bodyDiv w:val="1"/>
      <w:marLeft w:val="0"/>
      <w:marRight w:val="0"/>
      <w:marTop w:val="0"/>
      <w:marBottom w:val="0"/>
      <w:divBdr>
        <w:top w:val="none" w:sz="0" w:space="0" w:color="auto"/>
        <w:left w:val="none" w:sz="0" w:space="0" w:color="auto"/>
        <w:bottom w:val="none" w:sz="0" w:space="0" w:color="auto"/>
        <w:right w:val="none" w:sz="0" w:space="0" w:color="auto"/>
      </w:divBdr>
    </w:div>
    <w:div w:id="1347295680">
      <w:bodyDiv w:val="1"/>
      <w:marLeft w:val="0"/>
      <w:marRight w:val="0"/>
      <w:marTop w:val="0"/>
      <w:marBottom w:val="0"/>
      <w:divBdr>
        <w:top w:val="none" w:sz="0" w:space="0" w:color="auto"/>
        <w:left w:val="none" w:sz="0" w:space="0" w:color="auto"/>
        <w:bottom w:val="none" w:sz="0" w:space="0" w:color="auto"/>
        <w:right w:val="none" w:sz="0" w:space="0" w:color="auto"/>
      </w:divBdr>
    </w:div>
    <w:div w:id="1369839472">
      <w:bodyDiv w:val="1"/>
      <w:marLeft w:val="0"/>
      <w:marRight w:val="0"/>
      <w:marTop w:val="0"/>
      <w:marBottom w:val="0"/>
      <w:divBdr>
        <w:top w:val="none" w:sz="0" w:space="0" w:color="auto"/>
        <w:left w:val="none" w:sz="0" w:space="0" w:color="auto"/>
        <w:bottom w:val="none" w:sz="0" w:space="0" w:color="auto"/>
        <w:right w:val="none" w:sz="0" w:space="0" w:color="auto"/>
      </w:divBdr>
    </w:div>
    <w:div w:id="1490171181">
      <w:bodyDiv w:val="1"/>
      <w:marLeft w:val="0"/>
      <w:marRight w:val="0"/>
      <w:marTop w:val="0"/>
      <w:marBottom w:val="0"/>
      <w:divBdr>
        <w:top w:val="none" w:sz="0" w:space="0" w:color="auto"/>
        <w:left w:val="none" w:sz="0" w:space="0" w:color="auto"/>
        <w:bottom w:val="none" w:sz="0" w:space="0" w:color="auto"/>
        <w:right w:val="none" w:sz="0" w:space="0" w:color="auto"/>
      </w:divBdr>
    </w:div>
    <w:div w:id="1506242555">
      <w:bodyDiv w:val="1"/>
      <w:marLeft w:val="0"/>
      <w:marRight w:val="0"/>
      <w:marTop w:val="0"/>
      <w:marBottom w:val="0"/>
      <w:divBdr>
        <w:top w:val="none" w:sz="0" w:space="0" w:color="auto"/>
        <w:left w:val="none" w:sz="0" w:space="0" w:color="auto"/>
        <w:bottom w:val="none" w:sz="0" w:space="0" w:color="auto"/>
        <w:right w:val="none" w:sz="0" w:space="0" w:color="auto"/>
      </w:divBdr>
    </w:div>
    <w:div w:id="1651713272">
      <w:bodyDiv w:val="1"/>
      <w:marLeft w:val="0"/>
      <w:marRight w:val="0"/>
      <w:marTop w:val="75"/>
      <w:marBottom w:val="0"/>
      <w:divBdr>
        <w:top w:val="none" w:sz="0" w:space="0" w:color="auto"/>
        <w:left w:val="none" w:sz="0" w:space="0" w:color="auto"/>
        <w:bottom w:val="none" w:sz="0" w:space="0" w:color="auto"/>
        <w:right w:val="none" w:sz="0" w:space="0" w:color="auto"/>
      </w:divBdr>
      <w:divsChild>
        <w:div w:id="1946420942">
          <w:marLeft w:val="0"/>
          <w:marRight w:val="0"/>
          <w:marTop w:val="0"/>
          <w:marBottom w:val="0"/>
          <w:divBdr>
            <w:top w:val="none" w:sz="0" w:space="0" w:color="auto"/>
            <w:left w:val="none" w:sz="0" w:space="0" w:color="auto"/>
            <w:bottom w:val="none" w:sz="0" w:space="0" w:color="auto"/>
            <w:right w:val="none" w:sz="0" w:space="0" w:color="auto"/>
          </w:divBdr>
        </w:div>
      </w:divsChild>
    </w:div>
    <w:div w:id="1719276998">
      <w:bodyDiv w:val="1"/>
      <w:marLeft w:val="0"/>
      <w:marRight w:val="0"/>
      <w:marTop w:val="0"/>
      <w:marBottom w:val="0"/>
      <w:divBdr>
        <w:top w:val="none" w:sz="0" w:space="0" w:color="auto"/>
        <w:left w:val="none" w:sz="0" w:space="0" w:color="auto"/>
        <w:bottom w:val="none" w:sz="0" w:space="0" w:color="auto"/>
        <w:right w:val="none" w:sz="0" w:space="0" w:color="auto"/>
      </w:divBdr>
    </w:div>
    <w:div w:id="1721589382">
      <w:bodyDiv w:val="1"/>
      <w:marLeft w:val="0"/>
      <w:marRight w:val="0"/>
      <w:marTop w:val="0"/>
      <w:marBottom w:val="0"/>
      <w:divBdr>
        <w:top w:val="none" w:sz="0" w:space="0" w:color="auto"/>
        <w:left w:val="none" w:sz="0" w:space="0" w:color="auto"/>
        <w:bottom w:val="none" w:sz="0" w:space="0" w:color="auto"/>
        <w:right w:val="none" w:sz="0" w:space="0" w:color="auto"/>
      </w:divBdr>
    </w:div>
    <w:div w:id="2070571016">
      <w:bodyDiv w:val="1"/>
      <w:marLeft w:val="0"/>
      <w:marRight w:val="0"/>
      <w:marTop w:val="0"/>
      <w:marBottom w:val="0"/>
      <w:divBdr>
        <w:top w:val="none" w:sz="0" w:space="0" w:color="auto"/>
        <w:left w:val="none" w:sz="0" w:space="0" w:color="auto"/>
        <w:bottom w:val="none" w:sz="0" w:space="0" w:color="auto"/>
        <w:right w:val="none" w:sz="0" w:space="0" w:color="auto"/>
      </w:divBdr>
    </w:div>
    <w:div w:id="2084063990">
      <w:bodyDiv w:val="1"/>
      <w:marLeft w:val="0"/>
      <w:marRight w:val="0"/>
      <w:marTop w:val="0"/>
      <w:marBottom w:val="0"/>
      <w:divBdr>
        <w:top w:val="none" w:sz="0" w:space="0" w:color="auto"/>
        <w:left w:val="none" w:sz="0" w:space="0" w:color="auto"/>
        <w:bottom w:val="none" w:sz="0" w:space="0" w:color="auto"/>
        <w:right w:val="none" w:sz="0" w:space="0" w:color="auto"/>
      </w:divBdr>
    </w:div>
    <w:div w:id="2094429882">
      <w:bodyDiv w:val="1"/>
      <w:marLeft w:val="0"/>
      <w:marRight w:val="0"/>
      <w:marTop w:val="0"/>
      <w:marBottom w:val="0"/>
      <w:divBdr>
        <w:top w:val="none" w:sz="0" w:space="0" w:color="auto"/>
        <w:left w:val="none" w:sz="0" w:space="0" w:color="auto"/>
        <w:bottom w:val="none" w:sz="0" w:space="0" w:color="auto"/>
        <w:right w:val="none" w:sz="0" w:space="0" w:color="auto"/>
      </w:divBdr>
    </w:div>
    <w:div w:id="2140419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D035A163BC0046A41C2EBE1E58AFFF" ma:contentTypeVersion="1" ma:contentTypeDescription="Create a new document." ma:contentTypeScope="" ma:versionID="413af19bcb59ebd614d4f80392d470c1">
  <xsd:schema xmlns:xsd="http://www.w3.org/2001/XMLSchema" xmlns:xs="http://www.w3.org/2001/XMLSchema" xmlns:p="http://schemas.microsoft.com/office/2006/metadata/properties" xmlns:ns2="89f4cd83-a2d3-4405-9b45-6aff5241ff81" targetNamespace="http://schemas.microsoft.com/office/2006/metadata/properties" ma:root="true" ma:fieldsID="4b0342c81372e05998e770e64ad0cf8c" ns2:_="">
    <xsd:import namespace="89f4cd83-a2d3-4405-9b45-6aff5241ff8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5A76E65-E618-4215-A782-C247498B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5E1C21C-61F5-4164-8693-00938F9415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CE10A8A-D66A-4681-97B3-FD9B75691DB5}">
  <ds:schemaRefs>
    <ds:schemaRef ds:uri="http://schemas.openxmlformats.org/officeDocument/2006/bibliography"/>
  </ds:schemaRefs>
</ds:datastoreItem>
</file>

<file path=customXml/itemProps4.xml><?xml version="1.0" encoding="utf-8"?>
<ds:datastoreItem xmlns:ds="http://schemas.openxmlformats.org/officeDocument/2006/customXml" ds:itemID="{8FF9BC5F-7294-443F-BBD7-761C1783B69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1893</Words>
  <Characters>10792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PLAN DE TRABAJO</vt:lpstr>
    </vt:vector>
  </TitlesOfParts>
  <Company>Microsoft</Company>
  <LinksUpToDate>false</LinksUpToDate>
  <CharactersWithSpaces>12660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DE TRABAJO</dc:title>
  <dc:creator>MPCOEA</dc:creator>
  <cp:lastModifiedBy>Lobaton, Ursula</cp:lastModifiedBy>
  <cp:revision>5</cp:revision>
  <cp:lastPrinted>2013-08-05T22:05:00Z</cp:lastPrinted>
  <dcterms:created xsi:type="dcterms:W3CDTF">2022-03-25T16:13:00Z</dcterms:created>
  <dcterms:modified xsi:type="dcterms:W3CDTF">2022-03-31T19:04:00Z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0x01010076D035A163BC0046A41C2EBE1E58AFFF</vt:lpwstr>
  </property>
</Properties>
</file>